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881ED" w14:textId="77777777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 xml:space="preserve">CZĘŚĆ NR </w:t>
      </w:r>
      <w:r w:rsidR="00BF06C5">
        <w:rPr>
          <w:rFonts w:ascii="Calibri" w:hAnsi="Calibri" w:cs="Calibri"/>
          <w:sz w:val="22"/>
          <w:szCs w:val="22"/>
        </w:rPr>
        <w:t>7</w:t>
      </w:r>
    </w:p>
    <w:p w14:paraId="6DFD4EB7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29C1B8B8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</w:t>
      </w:r>
      <w:bookmarkStart w:id="0" w:name="_Hlk222851746"/>
      <w:r w:rsidR="00BF06C5" w:rsidRPr="00BF06C5">
        <w:rPr>
          <w:rFonts w:ascii="Calibri" w:hAnsi="Calibri" w:cs="Calibri"/>
          <w:sz w:val="22"/>
          <w:szCs w:val="22"/>
        </w:rPr>
        <w:t>nowej</w:t>
      </w:r>
      <w:r w:rsidR="00DC4A2B" w:rsidRPr="00BF06C5">
        <w:rPr>
          <w:rFonts w:ascii="Calibri" w:hAnsi="Calibri" w:cs="Calibri"/>
          <w:sz w:val="22"/>
          <w:szCs w:val="22"/>
        </w:rPr>
        <w:t xml:space="preserve"> </w:t>
      </w:r>
      <w:r w:rsidR="00BF06C5" w:rsidRPr="00BF06C5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 xml:space="preserve">Pampy infuzyjnej </w:t>
      </w:r>
      <w:proofErr w:type="spellStart"/>
      <w:r w:rsidR="00BF06C5" w:rsidRPr="00BF06C5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strzykawkowej</w:t>
      </w:r>
      <w:proofErr w:type="spellEnd"/>
      <w:r w:rsidR="00BF06C5" w:rsidRPr="00BF06C5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 xml:space="preserve"> </w:t>
      </w:r>
      <w:bookmarkEnd w:id="0"/>
      <w:r w:rsidR="00CB5834" w:rsidRPr="00BF06C5">
        <w:rPr>
          <w:rFonts w:ascii="Calibri" w:hAnsi="Calibri" w:cs="Calibri"/>
          <w:sz w:val="22"/>
          <w:szCs w:val="22"/>
        </w:rPr>
        <w:t>w ilościach</w:t>
      </w:r>
      <w:r w:rsidR="00CB5834" w:rsidRPr="00F41D47">
        <w:rPr>
          <w:rFonts w:ascii="Calibri" w:hAnsi="Calibri" w:cs="Calibri"/>
          <w:sz w:val="22"/>
          <w:szCs w:val="22"/>
        </w:rPr>
        <w:t xml:space="preserve">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07D8369A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286599">
        <w:rPr>
          <w:rFonts w:ascii="Calibri" w:hAnsi="Calibri" w:cs="Calibri"/>
          <w:b/>
          <w:sz w:val="22"/>
          <w:szCs w:val="22"/>
        </w:rPr>
        <w:t>28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0CB35790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5732E9D5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574164E6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02C8A134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65DCEC9A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opakowań po dostarczonym przez siebie sprzęcie.</w:t>
      </w:r>
    </w:p>
    <w:p w14:paraId="676DD04C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7ADCEA38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081254CB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424B9955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69462473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42F1300F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39CD98F3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1F717287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5E436D1F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5BBE346C" w14:textId="2885153D" w:rsidR="002D021F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148C8F44" w14:textId="6F60EFD4" w:rsidR="000879FF" w:rsidRDefault="000879F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74DD86D5" w14:textId="77777777" w:rsidR="000879FF" w:rsidRPr="00F41D47" w:rsidRDefault="000879F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2AEDFE3C" w14:textId="77777777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lastRenderedPageBreak/>
        <w:t xml:space="preserve">Przedmiotem zamówienia jest dostawa fabrycznie </w:t>
      </w:r>
      <w:r w:rsidR="00BF06C5" w:rsidRPr="00BF06C5">
        <w:rPr>
          <w:rFonts w:ascii="Calibri" w:hAnsi="Calibri" w:cs="Calibri"/>
          <w:sz w:val="22"/>
          <w:szCs w:val="22"/>
        </w:rPr>
        <w:t xml:space="preserve">nowej </w:t>
      </w:r>
      <w:r w:rsidR="00BF06C5" w:rsidRPr="00BF06C5">
        <w:rPr>
          <w:rFonts w:ascii="Calibri" w:hAnsi="Calibri" w:cs="Calibri"/>
          <w:b/>
          <w:bCs/>
          <w:sz w:val="22"/>
          <w:szCs w:val="22"/>
        </w:rPr>
        <w:t xml:space="preserve">Pampy infuzyjnej </w:t>
      </w:r>
      <w:proofErr w:type="spellStart"/>
      <w:r w:rsidR="00BF06C5" w:rsidRPr="00BF06C5">
        <w:rPr>
          <w:rFonts w:ascii="Calibri" w:hAnsi="Calibri" w:cs="Calibri"/>
          <w:b/>
          <w:bCs/>
          <w:sz w:val="22"/>
          <w:szCs w:val="22"/>
        </w:rPr>
        <w:t>strzykawkowej</w:t>
      </w:r>
      <w:proofErr w:type="spellEnd"/>
      <w:r w:rsidR="00BF06C5" w:rsidRPr="00BF06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BF06C5">
        <w:rPr>
          <w:rFonts w:ascii="Calibri" w:hAnsi="Calibri" w:cs="Calibri"/>
          <w:b/>
          <w:sz w:val="22"/>
          <w:szCs w:val="22"/>
        </w:rPr>
        <w:t>6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073F05F6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17D470C2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t xml:space="preserve">ZESTAWIENIE PARAMETRÓW TECHNICZNYCH </w:t>
      </w:r>
    </w:p>
    <w:p w14:paraId="4BF67368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48B627B6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0F1E3D2C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161D8279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286599">
        <w:rPr>
          <w:rFonts w:ascii="Calibri" w:hAnsi="Calibri" w:cs="Calibri"/>
          <w:sz w:val="22"/>
          <w:szCs w:val="22"/>
        </w:rPr>
        <w:t>5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05232C5C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  <w:gridCol w:w="4706"/>
      </w:tblGrid>
      <w:tr w:rsidR="005F3C8B" w:rsidRPr="00BF06C5" w14:paraId="34C9A4A7" w14:textId="77777777" w:rsidTr="00594D1E">
        <w:tc>
          <w:tcPr>
            <w:tcW w:w="567" w:type="dxa"/>
            <w:vAlign w:val="center"/>
          </w:tcPr>
          <w:p w14:paraId="31697514" w14:textId="77777777" w:rsidR="005F3C8B" w:rsidRPr="00BF06C5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797" w:type="dxa"/>
            <w:vAlign w:val="center"/>
          </w:tcPr>
          <w:p w14:paraId="35BD47D3" w14:textId="77777777" w:rsidR="005F3C8B" w:rsidRPr="00BF06C5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39792F09" w14:textId="77777777" w:rsidR="005F3C8B" w:rsidRPr="00BF06C5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PARAMETRY WYMAGANE</w:t>
            </w:r>
          </w:p>
        </w:tc>
        <w:tc>
          <w:tcPr>
            <w:tcW w:w="4706" w:type="dxa"/>
            <w:vAlign w:val="center"/>
          </w:tcPr>
          <w:p w14:paraId="790E4DC0" w14:textId="77777777" w:rsidR="005F3C8B" w:rsidRPr="00BF06C5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PARAMETRY OFEROWANE</w:t>
            </w:r>
          </w:p>
        </w:tc>
      </w:tr>
      <w:tr w:rsidR="00BF06C5" w:rsidRPr="00BF06C5" w14:paraId="5DFF30BC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6BE75B5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6ED4" w14:textId="77777777" w:rsidR="00BF06C5" w:rsidRPr="00BF06C5" w:rsidRDefault="00BF06C5" w:rsidP="00BF06C5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F06C5">
              <w:rPr>
                <w:rFonts w:asciiTheme="minorHAnsi" w:hAnsiTheme="minorHAnsi" w:cstheme="minorHAnsi"/>
                <w:sz w:val="20"/>
                <w:szCs w:val="2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Stosowanie strzykawek 2, 5, 6, 10, 12, 20, 30, 35, 50 ml, 60 ml</w:t>
            </w:r>
          </w:p>
        </w:tc>
        <w:tc>
          <w:tcPr>
            <w:tcW w:w="1275" w:type="dxa"/>
            <w:vAlign w:val="center"/>
          </w:tcPr>
          <w:p w14:paraId="48C69F3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6D6156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11D2FC3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21FD77DD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C0B6A" w14:textId="77777777" w:rsidR="00BF06C5" w:rsidRPr="00BF06C5" w:rsidRDefault="00BF06C5" w:rsidP="00BF06C5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F06C5">
              <w:rPr>
                <w:rFonts w:asciiTheme="minorHAnsi" w:hAnsiTheme="minorHAnsi" w:cstheme="minorHAnsi"/>
                <w:sz w:val="20"/>
                <w:szCs w:val="2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Strzykawki montowane od czoła</w:t>
            </w:r>
          </w:p>
        </w:tc>
        <w:tc>
          <w:tcPr>
            <w:tcW w:w="1275" w:type="dxa"/>
            <w:vAlign w:val="center"/>
          </w:tcPr>
          <w:p w14:paraId="617EA8D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32016F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76862AB2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27BE0A42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C4537" w14:textId="77777777" w:rsidR="00BF06C5" w:rsidRPr="00BF06C5" w:rsidRDefault="00BF06C5" w:rsidP="00BF06C5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F06C5">
              <w:rPr>
                <w:rFonts w:asciiTheme="minorHAnsi" w:hAnsiTheme="minorHAnsi" w:cstheme="minorHAnsi"/>
                <w:sz w:val="20"/>
                <w:szCs w:val="2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Ramię pompy niewychodzące poza gabaryt obudowy</w:t>
            </w:r>
          </w:p>
        </w:tc>
        <w:tc>
          <w:tcPr>
            <w:tcW w:w="1275" w:type="dxa"/>
            <w:vAlign w:val="center"/>
          </w:tcPr>
          <w:p w14:paraId="4618348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9A33DC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5711B4A3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1420F756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5DB5" w14:textId="77777777" w:rsidR="00BF06C5" w:rsidRPr="00BF06C5" w:rsidRDefault="00BF06C5" w:rsidP="00BF06C5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F06C5">
              <w:rPr>
                <w:rFonts w:asciiTheme="minorHAnsi" w:hAnsiTheme="minorHAnsi" w:cstheme="minorHAnsi"/>
                <w:sz w:val="20"/>
                <w:szCs w:val="2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Klawiatura symboliczna i alfanumeryczna umożliwiająca szybkie i intuicyjne programowanie infuzji oraz obsługę pompy-nie dopuszcza się klawiatury wyświetlanej na ekranie pompy</w:t>
            </w:r>
          </w:p>
        </w:tc>
        <w:tc>
          <w:tcPr>
            <w:tcW w:w="1275" w:type="dxa"/>
            <w:vAlign w:val="center"/>
          </w:tcPr>
          <w:p w14:paraId="2EC0BCD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318BCD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C1608CC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D4BA8F4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D8D61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Wysokość pompy 10 cm +/- 2 cm</w:t>
            </w:r>
          </w:p>
        </w:tc>
        <w:tc>
          <w:tcPr>
            <w:tcW w:w="1275" w:type="dxa"/>
            <w:vAlign w:val="center"/>
          </w:tcPr>
          <w:p w14:paraId="49459BED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E7BBD3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7FB0CD32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45C4796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31849" w14:textId="77777777" w:rsidR="00BF06C5" w:rsidRPr="00BF06C5" w:rsidRDefault="00BF06C5" w:rsidP="00BF06C5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F06C5">
              <w:rPr>
                <w:rFonts w:asciiTheme="minorHAnsi" w:hAnsiTheme="minorHAnsi" w:cstheme="minorHAnsi"/>
                <w:sz w:val="20"/>
                <w:szCs w:val="2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Szybkość dozowania w zakresie 0,01-2000 ml/h</w:t>
            </w:r>
          </w:p>
        </w:tc>
        <w:tc>
          <w:tcPr>
            <w:tcW w:w="1275" w:type="dxa"/>
            <w:vAlign w:val="center"/>
          </w:tcPr>
          <w:p w14:paraId="6A379DB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2AA05E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19FCED4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CBD018F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914F" w14:textId="77777777" w:rsidR="00BF06C5" w:rsidRPr="00BF06C5" w:rsidRDefault="00BF06C5" w:rsidP="00BF06C5">
            <w:pPr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kern w:val="1"/>
              </w:rPr>
              <w:t xml:space="preserve">Dokładność infuzji </w:t>
            </w:r>
            <w:r w:rsidRPr="00BF06C5">
              <w:rPr>
                <w:rFonts w:asciiTheme="minorHAnsi" w:hAnsiTheme="minorHAnsi" w:cstheme="minorHAnsi"/>
                <w:kern w:val="1"/>
                <w:rtl/>
              </w:rPr>
              <w:t xml:space="preserve">± </w:t>
            </w:r>
            <w:r w:rsidRPr="00BF06C5">
              <w:rPr>
                <w:rFonts w:asciiTheme="minorHAnsi" w:hAnsiTheme="minorHAnsi" w:cstheme="minorHAnsi"/>
                <w:kern w:val="1"/>
              </w:rPr>
              <w:t>2%</w:t>
            </w:r>
          </w:p>
        </w:tc>
        <w:tc>
          <w:tcPr>
            <w:tcW w:w="1275" w:type="dxa"/>
            <w:vAlign w:val="center"/>
          </w:tcPr>
          <w:p w14:paraId="03604CAF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06A85E8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26F08F13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ACE61AC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E857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Programowanie parametrów infuzji w jednostkach:</w:t>
            </w:r>
          </w:p>
          <w:p w14:paraId="3E2F17D0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ml, L,</w:t>
            </w:r>
          </w:p>
          <w:p w14:paraId="2FB167F8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BF06C5">
              <w:rPr>
                <w:rFonts w:asciiTheme="minorHAnsi" w:hAnsiTheme="minorHAnsi" w:cstheme="minorHAnsi"/>
              </w:rPr>
              <w:t>ng</w:t>
            </w:r>
            <w:proofErr w:type="spellEnd"/>
            <w:r w:rsidRPr="00BF06C5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F06C5">
              <w:rPr>
                <w:rFonts w:asciiTheme="minorHAnsi" w:hAnsiTheme="minorHAnsi" w:cstheme="minorHAnsi"/>
              </w:rPr>
              <w:t>μg</w:t>
            </w:r>
            <w:proofErr w:type="spellEnd"/>
            <w:r w:rsidRPr="00BF06C5">
              <w:rPr>
                <w:rFonts w:asciiTheme="minorHAnsi" w:hAnsiTheme="minorHAnsi" w:cstheme="minorHAnsi"/>
              </w:rPr>
              <w:t>, mg, g,</w:t>
            </w:r>
          </w:p>
          <w:p w14:paraId="43EE7407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BF06C5">
              <w:rPr>
                <w:rFonts w:asciiTheme="minorHAnsi" w:hAnsiTheme="minorHAnsi" w:cstheme="minorHAnsi"/>
              </w:rPr>
              <w:t>μEq</w:t>
            </w:r>
            <w:proofErr w:type="spellEnd"/>
            <w:r w:rsidRPr="00BF06C5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F06C5">
              <w:rPr>
                <w:rFonts w:asciiTheme="minorHAnsi" w:hAnsiTheme="minorHAnsi" w:cstheme="minorHAnsi"/>
              </w:rPr>
              <w:t>mEq</w:t>
            </w:r>
            <w:proofErr w:type="spellEnd"/>
            <w:r w:rsidRPr="00BF06C5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F06C5">
              <w:rPr>
                <w:rFonts w:asciiTheme="minorHAnsi" w:hAnsiTheme="minorHAnsi" w:cstheme="minorHAnsi"/>
              </w:rPr>
              <w:t>Eq</w:t>
            </w:r>
            <w:proofErr w:type="spellEnd"/>
            <w:r w:rsidRPr="00BF06C5">
              <w:rPr>
                <w:rFonts w:asciiTheme="minorHAnsi" w:hAnsiTheme="minorHAnsi" w:cstheme="minorHAnsi"/>
              </w:rPr>
              <w:t>,</w:t>
            </w:r>
          </w:p>
          <w:p w14:paraId="2DE60FB4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BF06C5">
              <w:rPr>
                <w:rFonts w:asciiTheme="minorHAnsi" w:hAnsiTheme="minorHAnsi" w:cstheme="minorHAnsi"/>
              </w:rPr>
              <w:t>mlU</w:t>
            </w:r>
            <w:proofErr w:type="spellEnd"/>
            <w:r w:rsidRPr="00BF06C5">
              <w:rPr>
                <w:rFonts w:asciiTheme="minorHAnsi" w:hAnsiTheme="minorHAnsi" w:cstheme="minorHAnsi"/>
              </w:rPr>
              <w:t xml:space="preserve">, IU, </w:t>
            </w:r>
            <w:proofErr w:type="spellStart"/>
            <w:r w:rsidRPr="00BF06C5">
              <w:rPr>
                <w:rFonts w:asciiTheme="minorHAnsi" w:hAnsiTheme="minorHAnsi" w:cstheme="minorHAnsi"/>
              </w:rPr>
              <w:t>kIU</w:t>
            </w:r>
            <w:proofErr w:type="spellEnd"/>
            <w:r w:rsidRPr="00BF06C5">
              <w:rPr>
                <w:rFonts w:asciiTheme="minorHAnsi" w:hAnsiTheme="minorHAnsi" w:cstheme="minorHAnsi"/>
              </w:rPr>
              <w:t>,</w:t>
            </w:r>
          </w:p>
          <w:p w14:paraId="6DF53A17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BF06C5">
              <w:rPr>
                <w:rFonts w:asciiTheme="minorHAnsi" w:hAnsiTheme="minorHAnsi" w:cstheme="minorHAnsi"/>
              </w:rPr>
              <w:t>mIE</w:t>
            </w:r>
            <w:proofErr w:type="spellEnd"/>
            <w:r w:rsidRPr="00BF06C5">
              <w:rPr>
                <w:rFonts w:asciiTheme="minorHAnsi" w:hAnsiTheme="minorHAnsi" w:cstheme="minorHAnsi"/>
              </w:rPr>
              <w:t xml:space="preserve">, IE, </w:t>
            </w:r>
            <w:proofErr w:type="spellStart"/>
            <w:r w:rsidRPr="00BF06C5">
              <w:rPr>
                <w:rFonts w:asciiTheme="minorHAnsi" w:hAnsiTheme="minorHAnsi" w:cstheme="minorHAnsi"/>
              </w:rPr>
              <w:t>kIE</w:t>
            </w:r>
            <w:proofErr w:type="spellEnd"/>
            <w:r w:rsidRPr="00BF06C5">
              <w:rPr>
                <w:rFonts w:asciiTheme="minorHAnsi" w:hAnsiTheme="minorHAnsi" w:cstheme="minorHAnsi"/>
              </w:rPr>
              <w:t>,</w:t>
            </w:r>
          </w:p>
          <w:p w14:paraId="73C26C0E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cal, kcal,</w:t>
            </w:r>
          </w:p>
          <w:p w14:paraId="04B83DEA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J, </w:t>
            </w:r>
            <w:proofErr w:type="spellStart"/>
            <w:r w:rsidRPr="00BF06C5">
              <w:rPr>
                <w:rFonts w:asciiTheme="minorHAnsi" w:hAnsiTheme="minorHAnsi" w:cstheme="minorHAnsi"/>
              </w:rPr>
              <w:t>kJ</w:t>
            </w:r>
            <w:proofErr w:type="spellEnd"/>
            <w:r w:rsidRPr="00BF06C5">
              <w:rPr>
                <w:rFonts w:asciiTheme="minorHAnsi" w:hAnsiTheme="minorHAnsi" w:cstheme="minorHAnsi"/>
              </w:rPr>
              <w:t>,</w:t>
            </w:r>
          </w:p>
          <w:p w14:paraId="2B2BF1FB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BF06C5">
              <w:rPr>
                <w:rFonts w:asciiTheme="minorHAnsi" w:hAnsiTheme="minorHAnsi" w:cstheme="minorHAnsi"/>
              </w:rPr>
              <w:t>mmol</w:t>
            </w:r>
            <w:proofErr w:type="spellEnd"/>
            <w:r w:rsidRPr="00BF06C5">
              <w:rPr>
                <w:rFonts w:asciiTheme="minorHAnsi" w:hAnsiTheme="minorHAnsi" w:cstheme="minorHAnsi"/>
              </w:rPr>
              <w:t xml:space="preserve">, mol, </w:t>
            </w:r>
          </w:p>
          <w:p w14:paraId="4FEEF7F5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na min., godz., dobę.</w:t>
            </w:r>
          </w:p>
        </w:tc>
        <w:tc>
          <w:tcPr>
            <w:tcW w:w="1275" w:type="dxa"/>
            <w:vAlign w:val="center"/>
          </w:tcPr>
          <w:p w14:paraId="1DAB60AD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2A88B3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AB140A4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75AD8F2F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B02A0" w14:textId="77777777" w:rsidR="00BF06C5" w:rsidRPr="00BF06C5" w:rsidRDefault="00BF06C5" w:rsidP="00BF06C5">
            <w:pPr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kern w:val="1"/>
              </w:rPr>
              <w:t>Zabezpieczenie przed gwałtowną zmianą szybkości w trakcie trwania infuzji (miareczkowanie).</w:t>
            </w:r>
          </w:p>
        </w:tc>
        <w:tc>
          <w:tcPr>
            <w:tcW w:w="1275" w:type="dxa"/>
            <w:vAlign w:val="center"/>
          </w:tcPr>
          <w:p w14:paraId="2480740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F07B2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7FAFCB17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1D099358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6608D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Tryby dozowania:</w:t>
            </w:r>
          </w:p>
          <w:p w14:paraId="5992C2EF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Infuzja ciągła,</w:t>
            </w:r>
          </w:p>
          <w:p w14:paraId="6E4D3020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Infuzja okresowa (bolusowa),</w:t>
            </w:r>
          </w:p>
          <w:p w14:paraId="223C2BA5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Infuzja profilowa,</w:t>
            </w:r>
          </w:p>
          <w:p w14:paraId="796321B2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Infuzja TPN.</w:t>
            </w:r>
          </w:p>
        </w:tc>
        <w:tc>
          <w:tcPr>
            <w:tcW w:w="1275" w:type="dxa"/>
            <w:vAlign w:val="center"/>
          </w:tcPr>
          <w:p w14:paraId="6B1091D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5B6C4FB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5D43B6C5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160F1F94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B2BBC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Ekran infuzji umożliwiający wyświetlenie następujących informacji jednocześnie:</w:t>
            </w:r>
          </w:p>
          <w:p w14:paraId="4209A343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nazwa leku,</w:t>
            </w:r>
          </w:p>
          <w:p w14:paraId="06C924A0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koncentracja leku,</w:t>
            </w:r>
          </w:p>
          <w:p w14:paraId="6D8EB516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lastRenderedPageBreak/>
              <w:t>- szybkość infuzji,</w:t>
            </w:r>
          </w:p>
          <w:p w14:paraId="16C5F838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informacji, że wartość szybkości infuzji mieści się w zalecanym zakresie lub znajduje się w zakresie limitu miękkiego dolnego lub górnego,</w:t>
            </w:r>
          </w:p>
          <w:p w14:paraId="43D02D1F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podana dawka,</w:t>
            </w:r>
          </w:p>
          <w:p w14:paraId="245FE19E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poziom limitów dla szybkości infuzji,</w:t>
            </w:r>
          </w:p>
          <w:p w14:paraId="0D5F3EB2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czas do końca dawki w formie graficznej,</w:t>
            </w:r>
          </w:p>
          <w:p w14:paraId="19F4F368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kategorii leku wyodrębnionej kolorem,</w:t>
            </w:r>
          </w:p>
          <w:p w14:paraId="652A8DDB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stan naładowania akumulatora,</w:t>
            </w:r>
          </w:p>
          <w:p w14:paraId="2C9109CA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aktualne ciśnienie w linii pacjenta w formie graficznej.</w:t>
            </w:r>
          </w:p>
        </w:tc>
        <w:tc>
          <w:tcPr>
            <w:tcW w:w="1275" w:type="dxa"/>
            <w:vAlign w:val="center"/>
          </w:tcPr>
          <w:p w14:paraId="53314E31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lastRenderedPageBreak/>
              <w:t>TAK</w:t>
            </w:r>
          </w:p>
        </w:tc>
        <w:tc>
          <w:tcPr>
            <w:tcW w:w="4706" w:type="dxa"/>
            <w:vAlign w:val="center"/>
          </w:tcPr>
          <w:p w14:paraId="25919667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746A65B0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09C79D1B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B9BF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Kolorystyczne wyróżnienie ekranu infuzji do żywienia dojelitowego względem innych realizowanych infuzji.</w:t>
            </w:r>
          </w:p>
        </w:tc>
        <w:tc>
          <w:tcPr>
            <w:tcW w:w="1275" w:type="dxa"/>
            <w:vAlign w:val="center"/>
          </w:tcPr>
          <w:p w14:paraId="19FCC349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0DC7468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C998B7F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0CBFBB6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48D1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Programowanie parametrów podaży bolusa oraz bolusa wstępnego (dawki indukcyjnej):</w:t>
            </w:r>
          </w:p>
          <w:p w14:paraId="19EA2948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objętość / dawka,</w:t>
            </w:r>
          </w:p>
          <w:p w14:paraId="473E8134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czas lub szybkość podaży.</w:t>
            </w:r>
          </w:p>
        </w:tc>
        <w:tc>
          <w:tcPr>
            <w:tcW w:w="1275" w:type="dxa"/>
            <w:vAlign w:val="center"/>
          </w:tcPr>
          <w:p w14:paraId="43EF7DC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5B85B7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BDFB9D3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49894181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DECF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Bolus manualny.</w:t>
            </w:r>
          </w:p>
        </w:tc>
        <w:tc>
          <w:tcPr>
            <w:tcW w:w="1275" w:type="dxa"/>
            <w:vAlign w:val="center"/>
          </w:tcPr>
          <w:p w14:paraId="504A891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679DB5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51B010F7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70E88FBE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5FCA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Bolus automatyczny z zaprogramowaną dawką.</w:t>
            </w:r>
          </w:p>
        </w:tc>
        <w:tc>
          <w:tcPr>
            <w:tcW w:w="1275" w:type="dxa"/>
            <w:vAlign w:val="center"/>
          </w:tcPr>
          <w:p w14:paraId="286A9449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BC78E7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6DB6F62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6A87A8FF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3399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Automatyczne zmniejszenie szybkości podaży bolusa, w celu uniknięcia przerwania jego podaży alarmem okluzji.</w:t>
            </w:r>
          </w:p>
        </w:tc>
        <w:tc>
          <w:tcPr>
            <w:tcW w:w="1275" w:type="dxa"/>
            <w:vAlign w:val="center"/>
          </w:tcPr>
          <w:p w14:paraId="38A7632D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94931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54BFA3AE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6B4CEBE0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D216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Możliwość wgrania do pompy biblioteki leków złożonej z procedur dozowania zawierających co najmniej:</w:t>
            </w:r>
          </w:p>
          <w:p w14:paraId="3DE54413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nazwy leku,</w:t>
            </w:r>
          </w:p>
          <w:p w14:paraId="1F715B95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- 10 koncentracji leku,</w:t>
            </w:r>
          </w:p>
          <w:p w14:paraId="5AD3176D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szybkości dozowania (dawkowanie),</w:t>
            </w:r>
          </w:p>
          <w:p w14:paraId="6F36A88E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całkowitej objętości (dawki) infuzji,</w:t>
            </w:r>
          </w:p>
          <w:p w14:paraId="1EED485F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parametrów bolusa, oraz dawki indukcyjnej,</w:t>
            </w:r>
          </w:p>
          <w:p w14:paraId="0FFE36DC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limitów dla wymienionych parametrów infuzji:</w:t>
            </w:r>
          </w:p>
          <w:p w14:paraId="268B614D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a) miękkich, ostrzegających o przekroczeniu zalecanych wartości parametrów,</w:t>
            </w:r>
          </w:p>
          <w:p w14:paraId="4C209679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b) twardych – blokujących możliwość wprowadzenia wartości spoza ich zakresu.</w:t>
            </w:r>
          </w:p>
        </w:tc>
        <w:tc>
          <w:tcPr>
            <w:tcW w:w="1275" w:type="dxa"/>
            <w:vAlign w:val="center"/>
          </w:tcPr>
          <w:p w14:paraId="19396F1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B674B4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C7B8723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6F72F96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847A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Notatki doradczej możliwej do odczytania przed rozpoczęciem infuzji.</w:t>
            </w:r>
          </w:p>
        </w:tc>
        <w:tc>
          <w:tcPr>
            <w:tcW w:w="1275" w:type="dxa"/>
            <w:vAlign w:val="center"/>
          </w:tcPr>
          <w:p w14:paraId="108C273F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BCA5714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765B7FC1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9FC20B5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F952D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Podział biblioteki na osobne grupy dedykowane poszczególnym oddziałom szpitalnym, do 40 oddziałów. Wybór oddziału dostępny w pompie.</w:t>
            </w:r>
          </w:p>
        </w:tc>
        <w:tc>
          <w:tcPr>
            <w:tcW w:w="1275" w:type="dxa"/>
            <w:vAlign w:val="center"/>
          </w:tcPr>
          <w:p w14:paraId="718A958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C96F5AB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B0B5455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2F40F8D7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0EF8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Podział biblioteki dedykowanej oddziałom na 40 kategorii lekowych.</w:t>
            </w:r>
          </w:p>
        </w:tc>
        <w:tc>
          <w:tcPr>
            <w:tcW w:w="1275" w:type="dxa"/>
            <w:vAlign w:val="center"/>
          </w:tcPr>
          <w:p w14:paraId="4026292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3053D3F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22FF2E67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0CAF0E6F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6BBA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Zabezpieczenie przed gwałtowną zmianą szybkości w trakcie trwania infuzji (miareczkowanie).</w:t>
            </w:r>
          </w:p>
        </w:tc>
        <w:tc>
          <w:tcPr>
            <w:tcW w:w="1275" w:type="dxa"/>
            <w:vAlign w:val="center"/>
          </w:tcPr>
          <w:p w14:paraId="7436894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B3D1FF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0D3579ED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2A3F4C5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EAC1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Napisy na wyświetlaczu w języku polskim.</w:t>
            </w:r>
          </w:p>
        </w:tc>
        <w:tc>
          <w:tcPr>
            <w:tcW w:w="1275" w:type="dxa"/>
            <w:vAlign w:val="center"/>
          </w:tcPr>
          <w:p w14:paraId="19C7C901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076EB81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6E35558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7932634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D8011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Regulowane progi ciśnienia okluzji, min. 12 poziomów</w:t>
            </w:r>
          </w:p>
        </w:tc>
        <w:tc>
          <w:tcPr>
            <w:tcW w:w="1275" w:type="dxa"/>
            <w:vAlign w:val="center"/>
          </w:tcPr>
          <w:p w14:paraId="4396EA9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FB2513D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7F087C0A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1A4DF60D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50579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Progi ciśnienia regulowane w zakresie 75 - 900 mmHg.</w:t>
            </w:r>
          </w:p>
        </w:tc>
        <w:tc>
          <w:tcPr>
            <w:tcW w:w="1275" w:type="dxa"/>
            <w:vAlign w:val="center"/>
          </w:tcPr>
          <w:p w14:paraId="5C0FC80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478880E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583B311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038B8E9D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ABDA2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Zmiana progu ciśnienia okluzji bez przerywania infuzji.</w:t>
            </w:r>
          </w:p>
        </w:tc>
        <w:tc>
          <w:tcPr>
            <w:tcW w:w="1275" w:type="dxa"/>
            <w:vAlign w:val="center"/>
          </w:tcPr>
          <w:p w14:paraId="1779A3DB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08FBE49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584C0D8A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78793DA8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F55DB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Automatyczna redukcja bolusa </w:t>
            </w:r>
            <w:proofErr w:type="spellStart"/>
            <w:r w:rsidRPr="00BF06C5">
              <w:rPr>
                <w:rFonts w:asciiTheme="minorHAnsi" w:hAnsiTheme="minorHAnsi" w:cstheme="minorHAnsi"/>
              </w:rPr>
              <w:t>okluzyjnego</w:t>
            </w:r>
            <w:proofErr w:type="spellEnd"/>
            <w:r w:rsidRPr="00BF06C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5" w:type="dxa"/>
            <w:vAlign w:val="center"/>
          </w:tcPr>
          <w:p w14:paraId="3ECDAE44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3A33C45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066E5463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78B04551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1AA1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275" w:type="dxa"/>
            <w:vAlign w:val="center"/>
          </w:tcPr>
          <w:p w14:paraId="0AEA630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CE63439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590139D5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1A82019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3985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275" w:type="dxa"/>
            <w:vAlign w:val="center"/>
          </w:tcPr>
          <w:p w14:paraId="037F866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E52C94C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6834964C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1F147653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0EBD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Możliwość instalacji pompy w stacji dokującej:</w:t>
            </w:r>
          </w:p>
          <w:p w14:paraId="3C9E5887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zatrzaskowe mocowanie z automatyczną blokadą, bez konieczności przykręcania,</w:t>
            </w:r>
          </w:p>
          <w:p w14:paraId="21B7143A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alarm nieprawidłowego mocowania,</w:t>
            </w:r>
          </w:p>
          <w:p w14:paraId="078FBF1A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 xml:space="preserve">- pompy mocowane niezależnie, jedna nad drugą, </w:t>
            </w:r>
          </w:p>
          <w:p w14:paraId="30A30D9B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automatyczne przyłączenie zasilania ze stacji dokującej,</w:t>
            </w:r>
          </w:p>
          <w:p w14:paraId="7A4DBFE2" w14:textId="77777777" w:rsidR="00BF06C5" w:rsidRPr="00BF06C5" w:rsidRDefault="00BF06C5" w:rsidP="00BF06C5">
            <w:pPr>
              <w:pStyle w:val="Bezodstpw"/>
              <w:rPr>
                <w:rFonts w:asciiTheme="minorHAnsi" w:eastAsia="Calibr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automatyczne przyłączenie portu komunikacyjnego ze stacji dokującej,</w:t>
            </w:r>
          </w:p>
          <w:p w14:paraId="13C7335F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- świetlna sygnalizacja stanu pomp: infuzja, alarm, STOP.</w:t>
            </w:r>
          </w:p>
        </w:tc>
        <w:tc>
          <w:tcPr>
            <w:tcW w:w="1275" w:type="dxa"/>
            <w:vAlign w:val="center"/>
          </w:tcPr>
          <w:p w14:paraId="5C0A772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889595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B235D15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4476D6F2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ECFD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275" w:type="dxa"/>
            <w:vAlign w:val="center"/>
          </w:tcPr>
          <w:p w14:paraId="70306F0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D20B744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0B158937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6B6BD01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DA90E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275" w:type="dxa"/>
            <w:vAlign w:val="center"/>
          </w:tcPr>
          <w:p w14:paraId="5ECB41D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6A8F6EC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D3042AE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43DAF69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4455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275" w:type="dxa"/>
            <w:vAlign w:val="center"/>
          </w:tcPr>
          <w:p w14:paraId="766D4E0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A56C0D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67454EF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4F7AF9DB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02EEF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Możliwość komunikacji pomp umieszczonych w stacjach dokujących wyposażonych w interfejs LAN z oprogramowaniem zewnętrznym.</w:t>
            </w:r>
          </w:p>
        </w:tc>
        <w:tc>
          <w:tcPr>
            <w:tcW w:w="1275" w:type="dxa"/>
            <w:vAlign w:val="center"/>
          </w:tcPr>
          <w:p w14:paraId="3CA561A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F9F89C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B21595B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07EB018F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78F48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Historia infuzji – możliwość zapamiętania min. 2000 pełnych infuzji.</w:t>
            </w:r>
          </w:p>
        </w:tc>
        <w:tc>
          <w:tcPr>
            <w:tcW w:w="1275" w:type="dxa"/>
            <w:vAlign w:val="center"/>
          </w:tcPr>
          <w:p w14:paraId="0030B02D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6E35AD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039BE56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096DB91A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2C108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Klasa ochrony II, typ CF, odporność na defibrylację, stopień ochrony obudowy min. IP22.</w:t>
            </w:r>
          </w:p>
        </w:tc>
        <w:tc>
          <w:tcPr>
            <w:tcW w:w="1275" w:type="dxa"/>
            <w:vAlign w:val="center"/>
          </w:tcPr>
          <w:p w14:paraId="54943EA6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63451F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78F179F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247ACE7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0F496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Zasilanie pomp mocowanych poza stacją dokującą bezpośrednio z sieci energetycznej.</w:t>
            </w:r>
          </w:p>
        </w:tc>
        <w:tc>
          <w:tcPr>
            <w:tcW w:w="1275" w:type="dxa"/>
            <w:vAlign w:val="center"/>
          </w:tcPr>
          <w:p w14:paraId="3F73C9BA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80EB6FE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221DD7D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578A176F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1F402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Czas pracy z akumulatora min. 14 h przy infuzji 25 ml/h.</w:t>
            </w:r>
          </w:p>
        </w:tc>
        <w:tc>
          <w:tcPr>
            <w:tcW w:w="1275" w:type="dxa"/>
            <w:vAlign w:val="center"/>
          </w:tcPr>
          <w:p w14:paraId="30EAE624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E8BBEC2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9BE1E01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383AC30D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9DDE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Czas ładowania akumulatora do 100% po pełnym rozładowaniu – poniżej 5 h.</w:t>
            </w:r>
          </w:p>
        </w:tc>
        <w:tc>
          <w:tcPr>
            <w:tcW w:w="1275" w:type="dxa"/>
            <w:vAlign w:val="center"/>
          </w:tcPr>
          <w:p w14:paraId="260A26D1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7FD93E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3AEAC939" w14:textId="77777777" w:rsidTr="003A5CE2">
        <w:trPr>
          <w:trHeight w:val="175"/>
        </w:trPr>
        <w:tc>
          <w:tcPr>
            <w:tcW w:w="567" w:type="dxa"/>
            <w:vAlign w:val="center"/>
          </w:tcPr>
          <w:p w14:paraId="4D91D737" w14:textId="77777777" w:rsidR="00BF06C5" w:rsidRPr="00BF06C5" w:rsidRDefault="00BF06C5" w:rsidP="00BF06C5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446D" w14:textId="77777777" w:rsidR="00BF06C5" w:rsidRPr="00BF06C5" w:rsidRDefault="00BF06C5" w:rsidP="00BF06C5">
            <w:pPr>
              <w:pStyle w:val="Bezodstpw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</w:rPr>
              <w:t>Waga do 2,4 kg.</w:t>
            </w:r>
          </w:p>
        </w:tc>
        <w:tc>
          <w:tcPr>
            <w:tcW w:w="1275" w:type="dxa"/>
            <w:vAlign w:val="center"/>
          </w:tcPr>
          <w:p w14:paraId="121FF59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F1CB22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5A39D24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C3667BF" w14:textId="77777777" w:rsidR="00BF06C5" w:rsidRPr="00BF06C5" w:rsidRDefault="00BF06C5" w:rsidP="00BF06C5">
            <w:pPr>
              <w:ind w:left="3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2E36F4A3" w14:textId="77777777" w:rsidR="00BF06C5" w:rsidRPr="00BF06C5" w:rsidRDefault="00BF06C5" w:rsidP="00BF06C5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b/>
                <w:color w:val="000000"/>
              </w:rPr>
              <w:t>Warunki gwarancji i serwisu</w:t>
            </w:r>
          </w:p>
        </w:tc>
        <w:tc>
          <w:tcPr>
            <w:tcW w:w="1275" w:type="dxa"/>
            <w:vAlign w:val="center"/>
          </w:tcPr>
          <w:p w14:paraId="0D53DA6C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4EF2677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04C3D2A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30D035DC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3EAF1336" w14:textId="2D4A6679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BF06C5">
              <w:rPr>
                <w:rFonts w:asciiTheme="minorHAnsi" w:hAnsiTheme="minorHAnsi" w:cstheme="minorHAnsi"/>
                <w:b/>
                <w:color w:val="000000"/>
              </w:rPr>
              <w:t xml:space="preserve">okres gwarancji jest parametrem ocenianym w zakresie od 24 do </w:t>
            </w:r>
            <w:r w:rsidR="000879FF">
              <w:rPr>
                <w:rFonts w:asciiTheme="minorHAnsi" w:hAnsiTheme="minorHAnsi" w:cstheme="minorHAnsi"/>
                <w:b/>
                <w:color w:val="000000"/>
              </w:rPr>
              <w:t>48</w:t>
            </w:r>
            <w:bookmarkStart w:id="1" w:name="_GoBack"/>
            <w:bookmarkEnd w:id="1"/>
            <w:r w:rsidRPr="00BF06C5">
              <w:rPr>
                <w:rFonts w:asciiTheme="minorHAnsi" w:hAnsiTheme="minorHAnsi" w:cstheme="minorHAnsi"/>
                <w:b/>
                <w:color w:val="000000"/>
              </w:rPr>
              <w:t xml:space="preserve"> miesięcy zgodnie z zapisami IDW.</w:t>
            </w:r>
          </w:p>
        </w:tc>
        <w:tc>
          <w:tcPr>
            <w:tcW w:w="1275" w:type="dxa"/>
            <w:vAlign w:val="center"/>
          </w:tcPr>
          <w:p w14:paraId="5D80D3BC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247BA5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6F55BB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6774211C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6D2718F8" w14:textId="77777777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5" w:type="dxa"/>
            <w:vAlign w:val="center"/>
          </w:tcPr>
          <w:p w14:paraId="0FF5CE38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3F4F20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29CEA6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DCC7AA2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38897C0F" w14:textId="77777777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</w:rPr>
              <w:t>Czas reakcji na zgłoszenie awarii „przyjęcie zgłoszenia – podjęcie naprawy” max 24 godz. w dni robocze</w:t>
            </w:r>
          </w:p>
        </w:tc>
        <w:tc>
          <w:tcPr>
            <w:tcW w:w="1275" w:type="dxa"/>
            <w:vAlign w:val="center"/>
          </w:tcPr>
          <w:p w14:paraId="0D6911CF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2DCFB2F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29267279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18D95154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6411CA2C" w14:textId="77777777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Czas oczekiwania na usunięcie awarii max 5 dni roboczych</w:t>
            </w:r>
          </w:p>
        </w:tc>
        <w:tc>
          <w:tcPr>
            <w:tcW w:w="1275" w:type="dxa"/>
            <w:vAlign w:val="center"/>
          </w:tcPr>
          <w:p w14:paraId="1985DED7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FC2A450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0CC8F66A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3024487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490BCE34" w14:textId="77777777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</w:rPr>
              <w:t>Instrukcje obsługi w języku polskim zgodna z wymogami ustawy o wyrobach medycznych</w:t>
            </w:r>
          </w:p>
        </w:tc>
        <w:tc>
          <w:tcPr>
            <w:tcW w:w="1275" w:type="dxa"/>
            <w:vAlign w:val="center"/>
          </w:tcPr>
          <w:p w14:paraId="64F26E97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3897E8E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4648864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14A1F868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24C37497" w14:textId="77777777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BF06C5">
              <w:rPr>
                <w:rFonts w:asciiTheme="minorHAnsi" w:hAnsiTheme="minorHAnsi" w:cstheme="minorHAns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5" w:type="dxa"/>
            <w:vAlign w:val="center"/>
          </w:tcPr>
          <w:p w14:paraId="795C9147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4706" w:type="dxa"/>
            <w:vAlign w:val="center"/>
          </w:tcPr>
          <w:p w14:paraId="6F3E5B7C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F06C5" w:rsidRPr="00BF06C5" w14:paraId="1193510D" w14:textId="77777777" w:rsidTr="00594D1E">
        <w:trPr>
          <w:trHeight w:val="321"/>
        </w:trPr>
        <w:tc>
          <w:tcPr>
            <w:tcW w:w="567" w:type="dxa"/>
            <w:vAlign w:val="center"/>
          </w:tcPr>
          <w:p w14:paraId="675430BA" w14:textId="77777777" w:rsidR="00BF06C5" w:rsidRPr="00BF06C5" w:rsidRDefault="00BF06C5" w:rsidP="00BF06C5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23DE2EBB" w14:textId="77777777" w:rsidR="00BF06C5" w:rsidRPr="00BF06C5" w:rsidRDefault="00BF06C5" w:rsidP="00BF06C5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 xml:space="preserve">Możliwość zgłaszania usterek 24 h/dobę </w:t>
            </w:r>
          </w:p>
        </w:tc>
        <w:tc>
          <w:tcPr>
            <w:tcW w:w="1275" w:type="dxa"/>
            <w:vAlign w:val="center"/>
          </w:tcPr>
          <w:p w14:paraId="1DB389A3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F06C5">
              <w:rPr>
                <w:rFonts w:asciiTheme="minorHAnsi" w:hAnsiTheme="minorHAnsi" w:cstheme="minorHAnsi"/>
                <w:color w:val="000000"/>
              </w:rPr>
              <w:t xml:space="preserve">tak, </w:t>
            </w:r>
            <w:r w:rsidRPr="00BF06C5">
              <w:rPr>
                <w:rFonts w:asciiTheme="minorHAnsi" w:hAnsiTheme="minorHAnsi" w:cstheme="minorHAnsi"/>
                <w:color w:val="000000"/>
              </w:rPr>
              <w:br/>
              <w:t xml:space="preserve">podać nr tel. </w:t>
            </w:r>
          </w:p>
        </w:tc>
        <w:tc>
          <w:tcPr>
            <w:tcW w:w="4706" w:type="dxa"/>
            <w:vAlign w:val="center"/>
          </w:tcPr>
          <w:p w14:paraId="0BB3F38E" w14:textId="77777777" w:rsidR="00BF06C5" w:rsidRPr="00BF06C5" w:rsidRDefault="00BF06C5" w:rsidP="00BF06C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1B2BF592" w14:textId="44B58F7D" w:rsidR="005654DC" w:rsidRPr="00F41D47" w:rsidRDefault="005654DC" w:rsidP="000879FF">
      <w:pPr>
        <w:pStyle w:val="Tekstpodstawowy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sectPr w:rsidR="005654DC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4B4D5" w14:textId="77777777" w:rsidR="00704997" w:rsidRDefault="00704997" w:rsidP="00DC4A2B">
      <w:r>
        <w:separator/>
      </w:r>
    </w:p>
  </w:endnote>
  <w:endnote w:type="continuationSeparator" w:id="0">
    <w:p w14:paraId="6A3F415A" w14:textId="77777777" w:rsidR="00704997" w:rsidRDefault="00704997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34FA0" w14:textId="77777777" w:rsidR="007148E0" w:rsidRDefault="007148E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5D3">
      <w:rPr>
        <w:noProof/>
      </w:rPr>
      <w:t>3</w:t>
    </w:r>
    <w:r>
      <w:fldChar w:fldCharType="end"/>
    </w:r>
  </w:p>
  <w:p w14:paraId="5D62AE3A" w14:textId="77777777" w:rsidR="007148E0" w:rsidRDefault="0071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F3014" w14:textId="77777777" w:rsidR="00704997" w:rsidRDefault="00704997" w:rsidP="00DC4A2B">
      <w:r>
        <w:separator/>
      </w:r>
    </w:p>
  </w:footnote>
  <w:footnote w:type="continuationSeparator" w:id="0">
    <w:p w14:paraId="115351C3" w14:textId="77777777" w:rsidR="00704997" w:rsidRDefault="00704997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48C14" w14:textId="1671D856" w:rsidR="000879FF" w:rsidRPr="00FD3538" w:rsidRDefault="000879FF" w:rsidP="000879FF">
    <w:pPr>
      <w:pStyle w:val="Nagwek"/>
      <w:pBdr>
        <w:bottom w:val="single" w:sz="6" w:space="1" w:color="auto"/>
      </w:pBdr>
      <w:jc w:val="center"/>
      <w:rPr>
        <w:rFonts w:ascii="Calibri" w:eastAsia="Calibri" w:hAnsi="Calibri"/>
        <w:noProof/>
        <w:kern w:val="2"/>
        <w:sz w:val="22"/>
        <w:szCs w:val="22"/>
        <w:lang w:eastAsia="en-US"/>
      </w:rPr>
    </w:pP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70B18552" wp14:editId="6C815F60">
          <wp:extent cx="5730875" cy="57404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D7A36" w14:textId="77777777" w:rsidR="00A04036" w:rsidRPr="000879FF" w:rsidRDefault="00A04036" w:rsidP="00087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A34E7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2"/>
  </w:num>
  <w:num w:numId="4">
    <w:abstractNumId w:val="23"/>
  </w:num>
  <w:num w:numId="5">
    <w:abstractNumId w:val="18"/>
  </w:num>
  <w:num w:numId="6">
    <w:abstractNumId w:val="12"/>
  </w:num>
  <w:num w:numId="7">
    <w:abstractNumId w:val="19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28"/>
  </w:num>
  <w:num w:numId="13">
    <w:abstractNumId w:val="31"/>
  </w:num>
  <w:num w:numId="14">
    <w:abstractNumId w:val="16"/>
  </w:num>
  <w:num w:numId="15">
    <w:abstractNumId w:val="26"/>
  </w:num>
  <w:num w:numId="16">
    <w:abstractNumId w:val="30"/>
  </w:num>
  <w:num w:numId="17">
    <w:abstractNumId w:val="21"/>
  </w:num>
  <w:num w:numId="18">
    <w:abstractNumId w:val="6"/>
  </w:num>
  <w:num w:numId="19">
    <w:abstractNumId w:val="13"/>
  </w:num>
  <w:num w:numId="20">
    <w:abstractNumId w:val="7"/>
  </w:num>
  <w:num w:numId="21">
    <w:abstractNumId w:val="24"/>
  </w:num>
  <w:num w:numId="22">
    <w:abstractNumId w:val="0"/>
  </w:num>
  <w:num w:numId="23">
    <w:abstractNumId w:val="14"/>
  </w:num>
  <w:num w:numId="24">
    <w:abstractNumId w:val="17"/>
  </w:num>
  <w:num w:numId="25">
    <w:abstractNumId w:val="32"/>
  </w:num>
  <w:num w:numId="26">
    <w:abstractNumId w:val="11"/>
  </w:num>
  <w:num w:numId="27">
    <w:abstractNumId w:val="10"/>
  </w:num>
  <w:num w:numId="28">
    <w:abstractNumId w:val="29"/>
  </w:num>
  <w:num w:numId="29">
    <w:abstractNumId w:val="9"/>
  </w:num>
  <w:num w:numId="30">
    <w:abstractNumId w:val="22"/>
  </w:num>
  <w:num w:numId="31">
    <w:abstractNumId w:val="1"/>
  </w:num>
  <w:num w:numId="32">
    <w:abstractNumId w:val="15"/>
  </w:num>
  <w:num w:numId="33">
    <w:abstractNumId w:val="2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305C6"/>
    <w:rsid w:val="00035547"/>
    <w:rsid w:val="00045F3F"/>
    <w:rsid w:val="00056525"/>
    <w:rsid w:val="00064700"/>
    <w:rsid w:val="00075259"/>
    <w:rsid w:val="0008361A"/>
    <w:rsid w:val="000879FF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0F6D7A"/>
    <w:rsid w:val="0010763C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8C4"/>
    <w:rsid w:val="00443F30"/>
    <w:rsid w:val="004632AB"/>
    <w:rsid w:val="00471DF5"/>
    <w:rsid w:val="004945D3"/>
    <w:rsid w:val="00497AA0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4A6D"/>
    <w:rsid w:val="0055534C"/>
    <w:rsid w:val="005654DC"/>
    <w:rsid w:val="005776CA"/>
    <w:rsid w:val="00594D1E"/>
    <w:rsid w:val="005A1C52"/>
    <w:rsid w:val="005B2FEE"/>
    <w:rsid w:val="005B7AE6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704997"/>
    <w:rsid w:val="007148E0"/>
    <w:rsid w:val="00717131"/>
    <w:rsid w:val="00730DFD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A54C7"/>
    <w:rsid w:val="007C1884"/>
    <w:rsid w:val="007D07DD"/>
    <w:rsid w:val="007E49A8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38D1"/>
    <w:rsid w:val="00A04036"/>
    <w:rsid w:val="00A068D8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406E7"/>
    <w:rsid w:val="00B44131"/>
    <w:rsid w:val="00B47584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2C48"/>
    <w:rsid w:val="00BD3FF6"/>
    <w:rsid w:val="00BD6102"/>
    <w:rsid w:val="00BF06C5"/>
    <w:rsid w:val="00BF12AC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710A5"/>
    <w:rsid w:val="00D77893"/>
    <w:rsid w:val="00D83133"/>
    <w:rsid w:val="00D84BE0"/>
    <w:rsid w:val="00D8748A"/>
    <w:rsid w:val="00D9125D"/>
    <w:rsid w:val="00D9179E"/>
    <w:rsid w:val="00DA6706"/>
    <w:rsid w:val="00DB3290"/>
    <w:rsid w:val="00DB5D69"/>
    <w:rsid w:val="00DC2360"/>
    <w:rsid w:val="00DC4A2B"/>
    <w:rsid w:val="00DD40C3"/>
    <w:rsid w:val="00DE55B1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E3AF0"/>
    <w:rsid w:val="00EF4F9A"/>
    <w:rsid w:val="00EF556F"/>
    <w:rsid w:val="00F05CED"/>
    <w:rsid w:val="00F1065A"/>
    <w:rsid w:val="00F2247E"/>
    <w:rsid w:val="00F322BB"/>
    <w:rsid w:val="00F41D47"/>
    <w:rsid w:val="00F570F0"/>
    <w:rsid w:val="00F7155D"/>
    <w:rsid w:val="00F72C32"/>
    <w:rsid w:val="00F73B12"/>
    <w:rsid w:val="00F74D46"/>
    <w:rsid w:val="00F829BE"/>
    <w:rsid w:val="00F92281"/>
    <w:rsid w:val="00F9759C"/>
    <w:rsid w:val="00F97DA0"/>
    <w:rsid w:val="00FA35F8"/>
    <w:rsid w:val="00FA788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3FDF375"/>
  <w15:chartTrackingRefBased/>
  <w15:docId w15:val="{5F8FFA54-A6B8-43AF-938B-CAD8B1250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uiPriority w:val="34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rsid w:val="00BF06C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Props1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85FFC-6494-49A6-A0E0-C913A3F8787A}">
  <ds:schemaRefs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6911d08f-30fe-41f2-b7a9-826573871485"/>
    <ds:schemaRef ds:uri="http://schemas.microsoft.com/office/infopath/2007/PartnerControls"/>
    <ds:schemaRef ds:uri="http://schemas.openxmlformats.org/package/2006/metadata/core-properties"/>
    <ds:schemaRef ds:uri="95f79286-34b9-4f28-bf71-e1f7b7e20e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1210</Words>
  <Characters>7685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3</cp:revision>
  <cp:lastPrinted>2013-01-30T07:20:00Z</cp:lastPrinted>
  <dcterms:created xsi:type="dcterms:W3CDTF">2026-02-24T18:07:00Z</dcterms:created>
  <dcterms:modified xsi:type="dcterms:W3CDTF">2026-02-28T17:35:00Z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