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CAC38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 xml:space="preserve">CZĘŚĆ NR </w:t>
      </w:r>
      <w:r w:rsidR="00DB2345">
        <w:rPr>
          <w:rFonts w:ascii="Calibri" w:hAnsi="Calibri" w:cs="Calibri"/>
          <w:sz w:val="22"/>
          <w:szCs w:val="22"/>
        </w:rPr>
        <w:t>5</w:t>
      </w:r>
    </w:p>
    <w:p w14:paraId="7F67B3A9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486459FF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nowego </w:t>
      </w:r>
      <w:bookmarkStart w:id="0" w:name="_Hlk222850355"/>
      <w:r w:rsidR="007F45A1">
        <w:rPr>
          <w:rFonts w:ascii="Calibri" w:hAnsi="Calibri" w:cs="Calibri"/>
          <w:b/>
          <w:sz w:val="22"/>
          <w:szCs w:val="22"/>
        </w:rPr>
        <w:t>Ł</w:t>
      </w:r>
      <w:r w:rsidR="00DB2345">
        <w:rPr>
          <w:rFonts w:ascii="Calibri" w:hAnsi="Calibri" w:cs="Calibri"/>
          <w:b/>
          <w:sz w:val="22"/>
          <w:szCs w:val="22"/>
        </w:rPr>
        <w:t>óżka medycznego do sali intensywnego nadzoru</w:t>
      </w:r>
      <w:bookmarkEnd w:id="0"/>
      <w:r w:rsidR="00286599" w:rsidRPr="00286599">
        <w:rPr>
          <w:rFonts w:ascii="Calibri" w:hAnsi="Calibri" w:cs="Calibri"/>
          <w:b/>
          <w:sz w:val="22"/>
          <w:szCs w:val="22"/>
        </w:rPr>
        <w:t xml:space="preserve">  </w:t>
      </w:r>
      <w:r w:rsidR="00CB5834" w:rsidRPr="00F41D47">
        <w:rPr>
          <w:rFonts w:ascii="Calibri" w:hAnsi="Calibri" w:cs="Calibri"/>
          <w:sz w:val="22"/>
          <w:szCs w:val="22"/>
        </w:rPr>
        <w:t xml:space="preserve">w ilościach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4CDD725D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667934BF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52E970DB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609B69DB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4538F0C4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347972DC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32382BBA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2FF25530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7EBAEB60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63E4B304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57B48515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43624E4C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2D628104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36FC5444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09397811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7CBFE2F6" w14:textId="5A58E1FB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1EE24D0D" w14:textId="6AB2B0A8" w:rsidR="00110514" w:rsidRDefault="0011051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642FFB10" w14:textId="77777777" w:rsidR="00110514" w:rsidRPr="00F41D47" w:rsidRDefault="0011051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6872FFCF" w14:textId="77777777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nowego </w:t>
      </w:r>
      <w:r w:rsidR="007F45A1">
        <w:rPr>
          <w:rFonts w:ascii="Calibri" w:hAnsi="Calibri" w:cs="Calibri"/>
          <w:b/>
          <w:sz w:val="22"/>
          <w:szCs w:val="22"/>
        </w:rPr>
        <w:t>Ł</w:t>
      </w:r>
      <w:r w:rsidR="00DB2345" w:rsidRPr="00DB2345">
        <w:rPr>
          <w:rFonts w:ascii="Calibri" w:hAnsi="Calibri" w:cs="Calibri"/>
          <w:b/>
          <w:sz w:val="22"/>
          <w:szCs w:val="22"/>
        </w:rPr>
        <w:t xml:space="preserve">óżka medycznego do </w:t>
      </w:r>
      <w:r w:rsidR="00DB2345">
        <w:rPr>
          <w:rFonts w:ascii="Calibri" w:hAnsi="Calibri" w:cs="Calibri"/>
          <w:b/>
          <w:sz w:val="22"/>
          <w:szCs w:val="22"/>
        </w:rPr>
        <w:t>s</w:t>
      </w:r>
      <w:r w:rsidR="00DB2345" w:rsidRPr="00DB2345">
        <w:rPr>
          <w:rFonts w:ascii="Calibri" w:hAnsi="Calibri" w:cs="Calibri"/>
          <w:b/>
          <w:sz w:val="22"/>
          <w:szCs w:val="22"/>
        </w:rPr>
        <w:t xml:space="preserve">ali intensywnego nadzoru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DB2345">
        <w:rPr>
          <w:rFonts w:ascii="Calibri" w:hAnsi="Calibri" w:cs="Calibri"/>
          <w:b/>
          <w:sz w:val="22"/>
          <w:szCs w:val="22"/>
        </w:rPr>
        <w:t>3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1ECC9F90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2B12185A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703D01A5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6F7505AF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7767F665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6A646937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29254BCF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A00A89" w14:paraId="061FC0B6" w14:textId="77777777" w:rsidTr="00594D1E">
        <w:tc>
          <w:tcPr>
            <w:tcW w:w="567" w:type="dxa"/>
            <w:vAlign w:val="center"/>
          </w:tcPr>
          <w:p w14:paraId="16D9FC19" w14:textId="77777777" w:rsidR="005F3C8B" w:rsidRPr="00A00A89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LP.</w:t>
            </w:r>
          </w:p>
        </w:tc>
        <w:tc>
          <w:tcPr>
            <w:tcW w:w="7797" w:type="dxa"/>
            <w:vAlign w:val="center"/>
          </w:tcPr>
          <w:p w14:paraId="43A911E4" w14:textId="77777777" w:rsidR="005F3C8B" w:rsidRPr="00A00A89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48202441" w14:textId="77777777" w:rsidR="005F3C8B" w:rsidRPr="00A00A89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141BB5F2" w14:textId="77777777" w:rsidR="005F3C8B" w:rsidRPr="00A00A89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PARAMETRY OFEROWANE</w:t>
            </w:r>
          </w:p>
        </w:tc>
      </w:tr>
      <w:tr w:rsidR="00DB2345" w:rsidRPr="00A00A89" w14:paraId="70721C32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B30B7A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21140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Kolumnowe łóżko ICU wytworzone w antybakteryjnej  nanotechnologii srebra (w częściach tworzywowych i lakierze) - fabrycznie nowe.</w:t>
            </w:r>
          </w:p>
        </w:tc>
        <w:tc>
          <w:tcPr>
            <w:tcW w:w="1275" w:type="dxa"/>
            <w:vAlign w:val="center"/>
          </w:tcPr>
          <w:p w14:paraId="555CBC0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1A7764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2506F88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4B09B2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D241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Szerokość całkowita łóżka z podniesionymi lub opuszczonymi poręczami bocznymi maksymalnie 990 mm</w:t>
            </w:r>
          </w:p>
        </w:tc>
        <w:tc>
          <w:tcPr>
            <w:tcW w:w="1275" w:type="dxa"/>
            <w:vAlign w:val="center"/>
          </w:tcPr>
          <w:p w14:paraId="529DBEE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8B0664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814804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2D3A80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AC25" w14:textId="77777777" w:rsidR="00DB2345" w:rsidRPr="00A00A89" w:rsidRDefault="00DB2345" w:rsidP="00DB2345">
            <w:pPr>
              <w:rPr>
                <w:rFonts w:ascii="Calibri" w:hAnsi="Calibri" w:cs="Calibri"/>
                <w:b/>
              </w:rPr>
            </w:pPr>
            <w:r w:rsidRPr="00A00A89">
              <w:rPr>
                <w:rFonts w:ascii="Calibri" w:hAnsi="Calibri" w:cs="Calibri"/>
              </w:rPr>
              <w:t>Całkowita długość łóżka max 2190 mm</w:t>
            </w:r>
          </w:p>
        </w:tc>
        <w:tc>
          <w:tcPr>
            <w:tcW w:w="1275" w:type="dxa"/>
            <w:vAlign w:val="center"/>
          </w:tcPr>
          <w:p w14:paraId="5895E99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A2F6A7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68CDAC8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589A88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9470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Ręczny pilot przewodowy sterujący następującymi funkcjami łóżka: zmiana wysokości leża, pochylenie oparcia pleców, pochylenie segmentu udowego, funkcja </w:t>
            </w:r>
            <w:proofErr w:type="spellStart"/>
            <w:r w:rsidRPr="00A00A89">
              <w:rPr>
                <w:rFonts w:ascii="Calibri" w:hAnsi="Calibri" w:cs="Calibri"/>
                <w:color w:val="000000"/>
              </w:rPr>
              <w:t>autokontur</w:t>
            </w:r>
            <w:proofErr w:type="spellEnd"/>
          </w:p>
        </w:tc>
        <w:tc>
          <w:tcPr>
            <w:tcW w:w="1275" w:type="dxa"/>
            <w:vAlign w:val="center"/>
          </w:tcPr>
          <w:p w14:paraId="3CD5674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1E7D96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33200B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4B1D64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BD9B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Pilot ze świetlnym wskaźnikiem sygnalizującym uruchomienie danej funkcji</w:t>
            </w:r>
          </w:p>
        </w:tc>
        <w:tc>
          <w:tcPr>
            <w:tcW w:w="1275" w:type="dxa"/>
            <w:vAlign w:val="center"/>
          </w:tcPr>
          <w:p w14:paraId="30F7A10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6EA3CF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51C19CB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052214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48959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Łóżko wielofunkcyjne, wielopozycyjne z pozycją krzesła kardiologicznego </w:t>
            </w:r>
          </w:p>
        </w:tc>
        <w:tc>
          <w:tcPr>
            <w:tcW w:w="1275" w:type="dxa"/>
            <w:vAlign w:val="center"/>
          </w:tcPr>
          <w:p w14:paraId="49A60E4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27E5F5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B3D559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2165963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173D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Konstrukcja łóżka oparta na dwóch maksymalnie szeroko rozstawionych kolumnach o przekroju kołowym  umożliwiających monitorowanie pacjenta ramieniem C (nie dopuszcza się rozwiązań pantografowych i nożycowych)</w:t>
            </w:r>
          </w:p>
        </w:tc>
        <w:tc>
          <w:tcPr>
            <w:tcW w:w="1275" w:type="dxa"/>
            <w:vAlign w:val="center"/>
          </w:tcPr>
          <w:p w14:paraId="7D3844B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2B029B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FC1D6CC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B08F199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448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Leże łóżka czterosegmentowe, z trzema segmentami ruchomymi </w:t>
            </w:r>
          </w:p>
        </w:tc>
        <w:tc>
          <w:tcPr>
            <w:tcW w:w="1275" w:type="dxa"/>
            <w:vAlign w:val="center"/>
          </w:tcPr>
          <w:p w14:paraId="7737205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8DFE0D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147F231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A5A348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D6EB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Elektryczna regulacja wysokości leża </w:t>
            </w:r>
          </w:p>
        </w:tc>
        <w:tc>
          <w:tcPr>
            <w:tcW w:w="1275" w:type="dxa"/>
            <w:vAlign w:val="center"/>
          </w:tcPr>
          <w:p w14:paraId="6FAD363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30711E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C33FA4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022F8A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9D0A5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Minimalna wysokość leża od podłogi nie więcej niż  440 mm w celu zmniejszenia ryzyka tzw. wypadnięcia pacjenta z łóżka. Wymiar dotyczy powierzchni, na której spoczywa materac </w:t>
            </w:r>
          </w:p>
        </w:tc>
        <w:tc>
          <w:tcPr>
            <w:tcW w:w="1275" w:type="dxa"/>
            <w:vAlign w:val="center"/>
          </w:tcPr>
          <w:p w14:paraId="65B629B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86A971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E7B6DD8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114EE8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732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Maksymalna wysokość leża od podłogi minimum 800 mm. Wymiar dotyczy powierzchni, na której spoczywa materac.</w:t>
            </w:r>
          </w:p>
        </w:tc>
        <w:tc>
          <w:tcPr>
            <w:tcW w:w="1275" w:type="dxa"/>
            <w:vAlign w:val="center"/>
          </w:tcPr>
          <w:p w14:paraId="3AC09AC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9FE5E7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793A52E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031FD8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892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Elektryczna regulacja oparcia pleców w zakresie od 0</w:t>
            </w:r>
            <w:r w:rsidRPr="00A00A89">
              <w:rPr>
                <w:rFonts w:ascii="Calibri" w:hAnsi="Calibri" w:cs="Calibri"/>
                <w:vertAlign w:val="superscript"/>
              </w:rPr>
              <w:t xml:space="preserve"> o   </w:t>
            </w:r>
            <w:r w:rsidRPr="00A00A89">
              <w:rPr>
                <w:rFonts w:ascii="Calibri" w:hAnsi="Calibri" w:cs="Calibri"/>
              </w:rPr>
              <w:t>do min 70</w:t>
            </w:r>
            <w:r w:rsidRPr="00A00A89">
              <w:rPr>
                <w:rFonts w:ascii="Calibri" w:hAnsi="Calibri" w:cs="Calibri"/>
                <w:vertAlign w:val="superscript"/>
              </w:rPr>
              <w:t xml:space="preserve"> o  </w:t>
            </w:r>
          </w:p>
        </w:tc>
        <w:tc>
          <w:tcPr>
            <w:tcW w:w="1275" w:type="dxa"/>
            <w:vAlign w:val="center"/>
          </w:tcPr>
          <w:p w14:paraId="7FB5224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2F04BA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0B1D972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634A92F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B30E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Elektryczna regulacja pozycji  </w:t>
            </w:r>
            <w:proofErr w:type="spellStart"/>
            <w:r w:rsidRPr="00A00A89">
              <w:rPr>
                <w:rFonts w:ascii="Calibri" w:hAnsi="Calibri" w:cs="Calibri"/>
              </w:rPr>
              <w:t>Trendelenburga</w:t>
            </w:r>
            <w:proofErr w:type="spellEnd"/>
            <w:r w:rsidRPr="00A00A89">
              <w:rPr>
                <w:rFonts w:ascii="Calibri" w:hAnsi="Calibri" w:cs="Calibri"/>
              </w:rPr>
              <w:t xml:space="preserve"> - regulacja z panelu centralnego i z paneli sterujących w poręczach bocznych od strony personelu min. 15</w:t>
            </w:r>
            <w:r w:rsidRPr="00A00A89">
              <w:rPr>
                <w:rFonts w:ascii="Calibri" w:hAnsi="Calibri" w:cs="Calibri"/>
                <w:vertAlign w:val="superscript"/>
              </w:rPr>
              <w:t>o</w:t>
            </w:r>
            <w:r w:rsidRPr="00A00A89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14:paraId="689F52D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33B301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FEAC010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1EFCF7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7EFE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Elektryczna regulacja pozycji anty - </w:t>
            </w:r>
            <w:proofErr w:type="spellStart"/>
            <w:r w:rsidRPr="00A00A89">
              <w:rPr>
                <w:rFonts w:ascii="Calibri" w:hAnsi="Calibri" w:cs="Calibri"/>
              </w:rPr>
              <w:t>Trendelenburga</w:t>
            </w:r>
            <w:proofErr w:type="spellEnd"/>
            <w:r w:rsidRPr="00A00A89">
              <w:rPr>
                <w:rFonts w:ascii="Calibri" w:hAnsi="Calibri" w:cs="Calibri"/>
              </w:rPr>
              <w:t xml:space="preserve"> regulacja z panelu centralnego i z paneli sterujących w poręczach bocznych od strony personelu min. 15</w:t>
            </w:r>
            <w:r w:rsidRPr="00A00A89">
              <w:rPr>
                <w:rFonts w:ascii="Calibri" w:hAnsi="Calibri" w:cs="Calibri"/>
                <w:vertAlign w:val="superscript"/>
              </w:rPr>
              <w:t>o</w:t>
            </w:r>
            <w:r w:rsidRPr="00A00A89">
              <w:rPr>
                <w:rFonts w:ascii="Calibri" w:hAnsi="Calibri" w:cs="Calibri"/>
              </w:rPr>
              <w:t xml:space="preserve">. </w:t>
            </w:r>
          </w:p>
        </w:tc>
        <w:tc>
          <w:tcPr>
            <w:tcW w:w="1275" w:type="dxa"/>
            <w:vAlign w:val="center"/>
          </w:tcPr>
          <w:p w14:paraId="7DBAAC8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D78D75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2286A2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BD6DEFC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33B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Elektryczna regulacja funkcji </w:t>
            </w:r>
            <w:proofErr w:type="spellStart"/>
            <w:r w:rsidRPr="00A00A89">
              <w:rPr>
                <w:rFonts w:ascii="Calibri" w:hAnsi="Calibri" w:cs="Calibri"/>
              </w:rPr>
              <w:t>autokontur</w:t>
            </w:r>
            <w:proofErr w:type="spellEnd"/>
            <w:r w:rsidRPr="00A00A89">
              <w:rPr>
                <w:rFonts w:ascii="Calibri" w:hAnsi="Calibri" w:cs="Calibri"/>
              </w:rPr>
              <w:t xml:space="preserve"> - jednoczesne uniesienia części plecowej do min. 70</w:t>
            </w:r>
            <w:r w:rsidRPr="00A00A89">
              <w:rPr>
                <w:rFonts w:ascii="Calibri" w:hAnsi="Calibri" w:cs="Calibri"/>
              </w:rPr>
              <w:sym w:font="Symbol" w:char="F0B0"/>
            </w:r>
            <w:r w:rsidRPr="00A00A89">
              <w:rPr>
                <w:rFonts w:ascii="Calibri" w:hAnsi="Calibri" w:cs="Calibri"/>
              </w:rPr>
              <w:t xml:space="preserve"> oraz  segmentu uda  do min. 40º </w:t>
            </w:r>
          </w:p>
        </w:tc>
        <w:tc>
          <w:tcPr>
            <w:tcW w:w="1275" w:type="dxa"/>
          </w:tcPr>
          <w:p w14:paraId="0D0E39A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5C7197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DE63982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37D537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4C28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Elektryczna regulacja segmentu uda w zakresie od 0</w:t>
            </w:r>
            <w:r w:rsidRPr="00A00A89">
              <w:rPr>
                <w:rFonts w:ascii="Calibri" w:hAnsi="Calibri" w:cs="Calibri"/>
                <w:vertAlign w:val="superscript"/>
              </w:rPr>
              <w:t xml:space="preserve"> o   </w:t>
            </w:r>
            <w:r w:rsidRPr="00A00A89">
              <w:rPr>
                <w:rFonts w:ascii="Calibri" w:hAnsi="Calibri" w:cs="Calibri"/>
              </w:rPr>
              <w:t>do</w:t>
            </w:r>
            <w:r w:rsidRPr="00A00A89">
              <w:rPr>
                <w:rFonts w:ascii="Calibri" w:hAnsi="Calibri" w:cs="Calibri"/>
                <w:vertAlign w:val="superscript"/>
              </w:rPr>
              <w:t xml:space="preserve"> </w:t>
            </w:r>
            <w:r w:rsidRPr="00A00A89">
              <w:rPr>
                <w:rFonts w:ascii="Calibri" w:hAnsi="Calibri" w:cs="Calibri"/>
              </w:rPr>
              <w:t>min. 40</w:t>
            </w:r>
            <w:r w:rsidRPr="00A00A89">
              <w:rPr>
                <w:rFonts w:ascii="Calibri" w:hAnsi="Calibri" w:cs="Calibri"/>
                <w:vertAlign w:val="superscript"/>
              </w:rPr>
              <w:t xml:space="preserve">o </w:t>
            </w:r>
            <w:r w:rsidRPr="00A00A89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1275" w:type="dxa"/>
          </w:tcPr>
          <w:p w14:paraId="558E766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560CEB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8FC975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4392EEF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A404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System autoregresji min.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A00A89">
                <w:rPr>
                  <w:rFonts w:ascii="Calibri" w:hAnsi="Calibri" w:cs="Calibri"/>
                </w:rPr>
                <w:t>165 mm</w:t>
              </w:r>
            </w:smartTag>
            <w:r w:rsidRPr="00A00A89">
              <w:rPr>
                <w:rFonts w:ascii="Calibri" w:hAnsi="Calibri" w:cs="Calibri"/>
              </w:rPr>
              <w:t xml:space="preserve"> zmniejszający ryzyko uszkodzenia kręgosłupa i szyjki kości udowej. Nie dopuszcza się autoregresji poniżej </w:t>
            </w:r>
            <w:smartTag w:uri="urn:schemas-microsoft-com:office:smarttags" w:element="metricconverter">
              <w:smartTagPr>
                <w:attr w:name="ProductID" w:val="165 mm"/>
              </w:smartTagPr>
              <w:r w:rsidRPr="00A00A89">
                <w:rPr>
                  <w:rFonts w:ascii="Calibri" w:hAnsi="Calibri" w:cs="Calibri"/>
                </w:rPr>
                <w:t>165 mm</w:t>
              </w:r>
            </w:smartTag>
            <w:r w:rsidRPr="00A00A89">
              <w:rPr>
                <w:rFonts w:ascii="Calibri" w:hAnsi="Calibri" w:cs="Calibri"/>
              </w:rPr>
              <w:t>, która zabezpiecza tylko przed wypychaniem szczytu</w:t>
            </w:r>
          </w:p>
        </w:tc>
        <w:tc>
          <w:tcPr>
            <w:tcW w:w="1275" w:type="dxa"/>
          </w:tcPr>
          <w:p w14:paraId="0A11634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81B439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6BED186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7D46301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62C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Następujące pozycje leża uzyskiwane automatycznie, po naciśnięciu i przytrzymaniu odpowiedniego przycisku na panelu centralnym:</w:t>
            </w:r>
          </w:p>
          <w:p w14:paraId="4B6E5645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pozycja krzesła kardiologicznego</w:t>
            </w:r>
          </w:p>
          <w:p w14:paraId="62F0824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- pozycja </w:t>
            </w:r>
            <w:proofErr w:type="spellStart"/>
            <w:r w:rsidRPr="00A00A89">
              <w:rPr>
                <w:rFonts w:ascii="Calibri" w:hAnsi="Calibri" w:cs="Calibri"/>
              </w:rPr>
              <w:t>antyszokowa</w:t>
            </w:r>
            <w:proofErr w:type="spellEnd"/>
          </w:p>
          <w:p w14:paraId="3FC40A75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pozycja do badań</w:t>
            </w:r>
          </w:p>
          <w:p w14:paraId="5ED20AB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pozycja Fowlera (jednocześnie leże łóżka obniża wysokość, a segmenty: oparcia pleców i uda unoszą się)</w:t>
            </w:r>
          </w:p>
          <w:p w14:paraId="3AF1CAA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pozycja zerowa (elektryczny CPR)</w:t>
            </w:r>
          </w:p>
          <w:p w14:paraId="68F816A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Dodatkowe przyciski na panelu centralnym do sterowania następującymi funkcjami łóżka:</w:t>
            </w:r>
            <w:r w:rsidRPr="00A00A89">
              <w:rPr>
                <w:rFonts w:ascii="Calibri" w:hAnsi="Calibri" w:cs="Calibri"/>
                <w:color w:val="000000"/>
              </w:rPr>
              <w:t xml:space="preserve"> zmiana wysokości leża, pochylenie oparcia pleców, pochylenie segmentu udowego, funkcja </w:t>
            </w:r>
            <w:proofErr w:type="spellStart"/>
            <w:r w:rsidRPr="00A00A89">
              <w:rPr>
                <w:rFonts w:ascii="Calibri" w:hAnsi="Calibri" w:cs="Calibri"/>
                <w:color w:val="000000"/>
              </w:rPr>
              <w:t>autokontur</w:t>
            </w:r>
            <w:proofErr w:type="spellEnd"/>
            <w:r w:rsidRPr="00A00A89">
              <w:rPr>
                <w:rFonts w:ascii="Calibri" w:hAnsi="Calibri" w:cs="Calibri"/>
                <w:color w:val="000000"/>
              </w:rPr>
              <w:t>, przechyły wzdłużne leża</w:t>
            </w:r>
            <w:r w:rsidRPr="00A00A89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75" w:type="dxa"/>
          </w:tcPr>
          <w:p w14:paraId="108AB28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3F0C4E8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DDC8B6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178C1F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61B17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Regulacje poszczególnych funkcji elektrycznych łóżka od strony personelu medycznego i pacjenta regulowane ze sterowania w barierkach bocznych oparcia pleców - tworzywowych:</w:t>
            </w:r>
          </w:p>
          <w:p w14:paraId="053A0C9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regulacja wysokości leża</w:t>
            </w:r>
          </w:p>
          <w:p w14:paraId="1F01980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regulacja kąta nachylenia segmentu pleców</w:t>
            </w:r>
          </w:p>
          <w:p w14:paraId="1B33287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regulacja kąta nachylenia segmentu ud</w:t>
            </w:r>
          </w:p>
          <w:p w14:paraId="14A3BC0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- </w:t>
            </w:r>
            <w:proofErr w:type="spellStart"/>
            <w:r w:rsidRPr="00A00A89">
              <w:rPr>
                <w:rFonts w:ascii="Calibri" w:hAnsi="Calibri" w:cs="Calibri"/>
              </w:rPr>
              <w:t>autokontur</w:t>
            </w:r>
            <w:proofErr w:type="spellEnd"/>
            <w:r w:rsidRPr="00A00A89">
              <w:rPr>
                <w:rFonts w:ascii="Calibri" w:hAnsi="Calibri" w:cs="Calibri"/>
              </w:rPr>
              <w:t>,</w:t>
            </w:r>
          </w:p>
          <w:p w14:paraId="68719390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 oraz tylko od strony personelu:</w:t>
            </w:r>
          </w:p>
          <w:p w14:paraId="6836E389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przechyłów wzdłużnych leża</w:t>
            </w:r>
          </w:p>
          <w:p w14:paraId="1CC3F203" w14:textId="77777777" w:rsidR="00DB2345" w:rsidRPr="00A00A89" w:rsidRDefault="00DB2345" w:rsidP="00DB2345">
            <w:pPr>
              <w:rPr>
                <w:rFonts w:ascii="Calibri" w:hAnsi="Calibri" w:cs="Calibri"/>
                <w:vertAlign w:val="superscript"/>
              </w:rPr>
            </w:pPr>
            <w:r w:rsidRPr="00A00A89">
              <w:rPr>
                <w:rFonts w:ascii="Calibri" w:hAnsi="Calibri" w:cs="Calibri"/>
              </w:rPr>
              <w:t>Panele sterujące od strony pacjenta i personelu z przyciskami uruchamiającymi dostępność funkcji</w:t>
            </w:r>
          </w:p>
        </w:tc>
        <w:tc>
          <w:tcPr>
            <w:tcW w:w="1275" w:type="dxa"/>
          </w:tcPr>
          <w:p w14:paraId="24281E8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227044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939EC1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0DC1C2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A6B7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Panele sterujące od strony pacjenta z przyciskami podświetlenia podwozia i alarmu akustycznego</w:t>
            </w:r>
          </w:p>
        </w:tc>
        <w:tc>
          <w:tcPr>
            <w:tcW w:w="1275" w:type="dxa"/>
          </w:tcPr>
          <w:p w14:paraId="707863D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59B132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6A849A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7E225DE1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7DC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Selektywne blokowanie na panelu centralnym funkcji elektrycznych </w:t>
            </w:r>
          </w:p>
        </w:tc>
        <w:tc>
          <w:tcPr>
            <w:tcW w:w="1275" w:type="dxa"/>
          </w:tcPr>
          <w:p w14:paraId="347EB4B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BE8378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2DB04C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11F853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70D4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Blokowanie na panelu centralnym wszystkich funkcji elektrycznych (oprócz funkcji ratunkowych) przy pomocy odpowiednich przycisków lub pokręteł. Panel wyposażony w diodową sygnalizację o zablokowaniu wszystkich funkcji </w:t>
            </w:r>
          </w:p>
        </w:tc>
        <w:tc>
          <w:tcPr>
            <w:tcW w:w="1275" w:type="dxa"/>
          </w:tcPr>
          <w:p w14:paraId="5DD5961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5EBD1C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74C36BB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752FF1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E30E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Segment podudzia regulowany za pomocą mechanizmu zapadkowego (np. </w:t>
            </w:r>
            <w:proofErr w:type="spellStart"/>
            <w:r w:rsidRPr="00A00A89">
              <w:rPr>
                <w:rFonts w:ascii="Calibri" w:hAnsi="Calibri" w:cs="Calibri"/>
                <w:color w:val="000000"/>
              </w:rPr>
              <w:t>Rastomat</w:t>
            </w:r>
            <w:proofErr w:type="spellEnd"/>
            <w:r w:rsidRPr="00A00A89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275" w:type="dxa"/>
          </w:tcPr>
          <w:p w14:paraId="60E377C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17742D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E3DD4F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1DC6AB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7C773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Poręcze boczne tworzywowe,</w:t>
            </w:r>
            <w:r w:rsidRPr="00A00A89">
              <w:rPr>
                <w:rFonts w:ascii="Calibri" w:hAnsi="Calibri" w:cs="Calibri"/>
                <w:color w:val="FF0000"/>
              </w:rPr>
              <w:t xml:space="preserve"> </w:t>
            </w:r>
            <w:r w:rsidRPr="00A00A89">
              <w:rPr>
                <w:rFonts w:ascii="Calibri" w:hAnsi="Calibri" w:cs="Calibri"/>
                <w:color w:val="000000"/>
              </w:rPr>
              <w:t>podwójne z wbudowanym sterowaniem po obu stronach barierek od strony głowy pacjenta, wytworzone z tworzywa z użyciem nanotechnologii srebra powodującej hamowanie namnażania się bakterii i wirusów.</w:t>
            </w:r>
            <w:r w:rsidRPr="00A00A89">
              <w:rPr>
                <w:rFonts w:ascii="Calibri" w:hAnsi="Calibri" w:cs="Calibri"/>
              </w:rPr>
              <w:t xml:space="preserve"> Dodatek antybakteryjny musi być integralną zawartością składu tworzywa i zapewniać </w:t>
            </w:r>
            <w:r w:rsidRPr="00A00A89">
              <w:rPr>
                <w:rFonts w:ascii="Calibri" w:hAnsi="Calibri" w:cs="Calibri"/>
                <w:bCs/>
                <w:color w:val="221F1F"/>
              </w:rPr>
              <w:t>powolne uwalnianie jonów srebra</w:t>
            </w:r>
            <w:r w:rsidRPr="00A00A89">
              <w:rPr>
                <w:rFonts w:ascii="Calibri" w:hAnsi="Calibri" w:cs="Calibri"/>
              </w:rPr>
              <w:t>.</w:t>
            </w:r>
          </w:p>
          <w:p w14:paraId="0FAB6B1C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</w:tcPr>
          <w:p w14:paraId="3E38CD0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41ED77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6050A2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51FD98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9DD8D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Poręcze od strony głowy pacjenta poruszające się wraz z oparciem pleców.</w:t>
            </w:r>
          </w:p>
          <w:p w14:paraId="23E53035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Poręcze w części udowej leża nie poruszające się z segmentem uda ani z segmentem podudzia</w:t>
            </w:r>
          </w:p>
        </w:tc>
        <w:tc>
          <w:tcPr>
            <w:tcW w:w="1275" w:type="dxa"/>
          </w:tcPr>
          <w:p w14:paraId="2A772DC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923306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40E3210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A645EFA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759C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</w:rPr>
              <w:t>Poręcze zabezpieczające pacjenta na całej długości leża.</w:t>
            </w:r>
          </w:p>
        </w:tc>
        <w:tc>
          <w:tcPr>
            <w:tcW w:w="1275" w:type="dxa"/>
          </w:tcPr>
          <w:p w14:paraId="2858C4E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085B218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B80FA25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FA366A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028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Poręcze z systemem opuszczania odpowiadającym za ich ciche opadanie. Zwolnienie i opuszczenie poręczy dokonywane jedną ręką.</w:t>
            </w:r>
          </w:p>
        </w:tc>
        <w:tc>
          <w:tcPr>
            <w:tcW w:w="1275" w:type="dxa"/>
          </w:tcPr>
          <w:p w14:paraId="4DBB405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3A13BD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21A3090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E095E3F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153A7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Górna powierzchnia poręczy bocznych w części udowej (po ich opuszczeniu) nie wystająca ponad płaszczyznę leża, aby wyeliminować ucisk na mięśnie i tętnice ud pacjenta</w:t>
            </w:r>
          </w:p>
        </w:tc>
        <w:tc>
          <w:tcPr>
            <w:tcW w:w="1275" w:type="dxa"/>
          </w:tcPr>
          <w:p w14:paraId="5EA3136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2CE35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E602FB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1C5C161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817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Wbudowany akumulator wykorzystywany do sterowania funkcjami łóżka w przypadku zaniku zasilania lub w przypadku przewożenia pacjenta</w:t>
            </w:r>
          </w:p>
        </w:tc>
        <w:tc>
          <w:tcPr>
            <w:tcW w:w="1275" w:type="dxa"/>
          </w:tcPr>
          <w:p w14:paraId="47ACEE7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045BC9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D7ED319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B1350ED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47EF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składu lakieru. </w:t>
            </w:r>
          </w:p>
        </w:tc>
        <w:tc>
          <w:tcPr>
            <w:tcW w:w="1275" w:type="dxa"/>
          </w:tcPr>
          <w:p w14:paraId="3056E4A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08EB33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F958650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57538C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FEB1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Segmenty leża wypełnione płytą laminatową   przezierną dla promieniowania RTG </w:t>
            </w:r>
          </w:p>
        </w:tc>
        <w:tc>
          <w:tcPr>
            <w:tcW w:w="1275" w:type="dxa"/>
          </w:tcPr>
          <w:p w14:paraId="2007AD8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19A17F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73219F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64E9E60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B7B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Segment oparcia pleców z możliwością szybkiego poziomowania (CPR)  z obu stron leża dźwigniami umieszczonymi odpowiednio w okolicy oparcia pleców.</w:t>
            </w:r>
          </w:p>
        </w:tc>
        <w:tc>
          <w:tcPr>
            <w:tcW w:w="1275" w:type="dxa"/>
          </w:tcPr>
          <w:p w14:paraId="3279F3F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B903AF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BD3D8E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81A566C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2A3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4 koła o średnicy min. </w:t>
            </w:r>
            <w:smartTag w:uri="urn:schemas-microsoft-com:office:smarttags" w:element="metricconverter">
              <w:smartTagPr>
                <w:attr w:name="ProductID" w:val="150 mm"/>
              </w:smartTagPr>
              <w:r w:rsidRPr="00A00A89">
                <w:rPr>
                  <w:rFonts w:ascii="Calibri" w:hAnsi="Calibri" w:cs="Calibri"/>
                </w:rPr>
                <w:t>150 mm</w:t>
              </w:r>
            </w:smartTag>
            <w:r w:rsidRPr="00A00A89">
              <w:rPr>
                <w:rFonts w:ascii="Calibri" w:hAnsi="Calibri" w:cs="Calibri"/>
              </w:rPr>
              <w:t xml:space="preserve">  zaopatrzone w mechanizm centralnej blokady. Piasty kół z tworzywowymi osłonami (widoczny tylko bieżnik) </w:t>
            </w:r>
          </w:p>
        </w:tc>
        <w:tc>
          <w:tcPr>
            <w:tcW w:w="1275" w:type="dxa"/>
          </w:tcPr>
          <w:p w14:paraId="47CAC75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94F21E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C5F879D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935152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16C4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Dźwignie uruchamiające centralną blokadę kół umieszczone w dwóch narożach ramy podwozia łóżka od strony nóg pacjenta</w:t>
            </w:r>
          </w:p>
        </w:tc>
        <w:tc>
          <w:tcPr>
            <w:tcW w:w="1275" w:type="dxa"/>
          </w:tcPr>
          <w:p w14:paraId="446B2D6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EB8A35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59E436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7E27CA9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52527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Funkcja jazdy na wprost i łatwego manewrowania </w:t>
            </w:r>
          </w:p>
        </w:tc>
        <w:tc>
          <w:tcPr>
            <w:tcW w:w="1275" w:type="dxa"/>
          </w:tcPr>
          <w:p w14:paraId="29FF272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C8CEE4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B09D156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38DB5C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F6A1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Podwozie zaopatrzone w osłony z tworzywa wykonanego z zastosowaniem nanotechnologii srebra, zakrywające mechanizm centralnej blokady kół. Dodatek antybakteryjny musi być integralną zawartością składu tworzywa i zapewniać </w:t>
            </w:r>
            <w:r w:rsidRPr="00A00A89">
              <w:rPr>
                <w:rFonts w:ascii="Calibri" w:hAnsi="Calibri" w:cs="Calibri"/>
                <w:bCs/>
                <w:color w:val="221F1F"/>
              </w:rPr>
              <w:t>powolne uwalnianie jonów srebra</w:t>
            </w:r>
            <w:r w:rsidRPr="00A00A89">
              <w:rPr>
                <w:rFonts w:ascii="Calibri" w:hAnsi="Calibri" w:cs="Calibri"/>
              </w:rPr>
              <w:t>.</w:t>
            </w:r>
          </w:p>
        </w:tc>
        <w:tc>
          <w:tcPr>
            <w:tcW w:w="1275" w:type="dxa"/>
          </w:tcPr>
          <w:p w14:paraId="779935B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BAE5BF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A14E63B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2B0D790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8AF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Prześwit pod podwoziem o wysokości min. 190 mm i na długości min. </w:t>
            </w:r>
            <w:smartTag w:uri="urn:schemas-microsoft-com:office:smarttags" w:element="metricconverter">
              <w:smartTagPr>
                <w:attr w:name="ProductID" w:val="1050 mm"/>
              </w:smartTagPr>
              <w:r w:rsidRPr="00A00A89">
                <w:rPr>
                  <w:rFonts w:ascii="Calibri" w:hAnsi="Calibri" w:cs="Calibri"/>
                </w:rPr>
                <w:t>1050 mm</w:t>
              </w:r>
            </w:smartTag>
            <w:r w:rsidRPr="00A00A89">
              <w:rPr>
                <w:rFonts w:ascii="Calibri" w:hAnsi="Calibri" w:cs="Calibri"/>
              </w:rPr>
              <w:t>, aby umożliwić swobodny najazd podnośnika chorego</w:t>
            </w:r>
          </w:p>
        </w:tc>
        <w:tc>
          <w:tcPr>
            <w:tcW w:w="1275" w:type="dxa"/>
          </w:tcPr>
          <w:p w14:paraId="67C16BB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24EF4E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B47A20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7ED1296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2DEEDE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Szczyty łóżka wyjmowane z gniazd ramy leża, tworzywowe </w:t>
            </w:r>
            <w:r w:rsidRPr="00A00A89">
              <w:rPr>
                <w:rFonts w:ascii="Calibri" w:hAnsi="Calibri" w:cs="Calibri"/>
                <w:color w:val="000000"/>
              </w:rPr>
              <w:t>wytworzone z tworzywa z użyciem nanotechnologii srebra powodującej hamowanie namnażania się bakterii i wirusów</w:t>
            </w:r>
            <w:r w:rsidRPr="00A00A89">
              <w:rPr>
                <w:rFonts w:ascii="Calibri" w:hAnsi="Calibri" w:cs="Calibri"/>
              </w:rPr>
              <w:t xml:space="preserve">. Dodatek antybakteryjny musi być integralną zawartością składu tworzywa i zapewniać </w:t>
            </w:r>
            <w:r w:rsidRPr="00A00A89">
              <w:rPr>
                <w:rFonts w:ascii="Calibri" w:hAnsi="Calibri" w:cs="Calibri"/>
                <w:bCs/>
                <w:color w:val="221F1F"/>
              </w:rPr>
              <w:t>powolne uwalnianie jonów srebra</w:t>
            </w:r>
            <w:r w:rsidRPr="00A00A89">
              <w:rPr>
                <w:rFonts w:ascii="Calibri" w:hAnsi="Calibri" w:cs="Calibri"/>
              </w:rPr>
              <w:t>.</w:t>
            </w:r>
          </w:p>
          <w:p w14:paraId="3231992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33CC8911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Szczyty od strony nóg i głowy poruszające się wraz z ramą leża.</w:t>
            </w:r>
          </w:p>
          <w:p w14:paraId="48B3113D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18A9369E" w14:textId="77777777" w:rsidR="00DB2345" w:rsidRPr="00A00A89" w:rsidRDefault="00DB2345" w:rsidP="00DB2345">
            <w:pPr>
              <w:rPr>
                <w:rFonts w:ascii="Calibri" w:hAnsi="Calibri" w:cs="Calibri"/>
                <w:color w:val="FF0000"/>
              </w:rPr>
            </w:pPr>
            <w:r w:rsidRPr="00A00A89">
              <w:rPr>
                <w:rFonts w:ascii="Calibri" w:hAnsi="Calibri" w:cs="Calibri"/>
              </w:rPr>
              <w:t>Możliwość wyboru akcentu kolorystycznego szczytów.</w:t>
            </w:r>
          </w:p>
        </w:tc>
        <w:tc>
          <w:tcPr>
            <w:tcW w:w="1275" w:type="dxa"/>
          </w:tcPr>
          <w:p w14:paraId="2EA0FCA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1086CE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9E8D966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61FCFF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7A267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Odległość szczytu przy głowie pacjenta od podwozia pozwalająca personelowi na swobodne przemieszczanie łóżka (palce stóp nie uderzają w podwozie)</w:t>
            </w:r>
          </w:p>
        </w:tc>
        <w:tc>
          <w:tcPr>
            <w:tcW w:w="1275" w:type="dxa"/>
          </w:tcPr>
          <w:p w14:paraId="5221DCF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82621B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2008B8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4E90F93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73500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Rama leża wyposażona w:</w:t>
            </w:r>
          </w:p>
          <w:p w14:paraId="5B88F61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krążki  odbojowe w narożach leża,</w:t>
            </w:r>
          </w:p>
          <w:p w14:paraId="3056FB2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sworzeń wyrównania potencjału,</w:t>
            </w:r>
          </w:p>
          <w:p w14:paraId="13EDAC43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poziomnice, po jednej sztuce na obu bokach leża, w okolicy szczytu nóg</w:t>
            </w:r>
          </w:p>
          <w:p w14:paraId="1FF6367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- cztery haczyki do zawieszania np. woreczków na płyny fizjologiczne – po dwa haczyki z dwóch stron leża  </w:t>
            </w:r>
          </w:p>
        </w:tc>
        <w:tc>
          <w:tcPr>
            <w:tcW w:w="1275" w:type="dxa"/>
          </w:tcPr>
          <w:p w14:paraId="43937E6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C65A1E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90213F6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9F6BDB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69D934B3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Możliwość montażu wieszaka kroplówki w czterech narożach ramy leża</w:t>
            </w:r>
          </w:p>
        </w:tc>
        <w:tc>
          <w:tcPr>
            <w:tcW w:w="1275" w:type="dxa"/>
          </w:tcPr>
          <w:p w14:paraId="4CC7B6B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4B9050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AEFAFC9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FC4B656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3BF49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Dopuszczalne obciążenie robocze min.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A00A89">
                <w:rPr>
                  <w:rFonts w:ascii="Calibri" w:hAnsi="Calibri" w:cs="Calibri"/>
                </w:rPr>
                <w:t>250 kg</w:t>
              </w:r>
            </w:smartTag>
          </w:p>
        </w:tc>
        <w:tc>
          <w:tcPr>
            <w:tcW w:w="1275" w:type="dxa"/>
          </w:tcPr>
          <w:p w14:paraId="271E1648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8499BE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70B09D2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8377FF1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3D28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Łóżko wyposażone w system ważący spełniający wymagania następujących, obowiązujących aktów prawnych:</w:t>
            </w:r>
          </w:p>
          <w:p w14:paraId="531B03FE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- DYREKTYWY PARLAMENTU EUROPEJSKIEGO I RADY 2014/31/UE z dnia 26 lutego 2014 r. w sprawie harmonizacji ustawodawstw państw członkowskich odnoszących się do udostępniania na rynku wag nieautomatycznych,</w:t>
            </w:r>
          </w:p>
          <w:p w14:paraId="4E7506A8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- zharmonizowanej z powyższą dyrektywą normy PN-EN 45501:2015-05,</w:t>
            </w:r>
          </w:p>
          <w:p w14:paraId="7A8D3DA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- Rozporządzenia Ministra Rozwoju z dnia 2 czerwca 2016 r. w sprawie wymagań dla wag nieautomatycznych,</w:t>
            </w:r>
          </w:p>
          <w:p w14:paraId="1782718E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 xml:space="preserve">- Rozporządzenia Ministra Gospodarki z dnia 7 stycznia 2008 r. w sprawie prawnej kontroli metrologicznej przyrządów pomiarowych z </w:t>
            </w:r>
            <w:proofErr w:type="spellStart"/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pózn</w:t>
            </w:r>
            <w:proofErr w:type="spellEnd"/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. zmianami.</w:t>
            </w:r>
          </w:p>
        </w:tc>
        <w:tc>
          <w:tcPr>
            <w:tcW w:w="1275" w:type="dxa"/>
          </w:tcPr>
          <w:p w14:paraId="024B184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5EE038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1B0F465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D84A6B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C83C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</w:rPr>
              <w:t>Obsługa systemu ważącego oraz odczytywanie wskazań z dodatkowego panelu z wyświetlaczem, umieszczonego pod leżem od strony nóg pacjenta. Panel z możliwością wysuwania na czas pomiaru i odczytu oraz „chowany” pod leże, gdy nie jest on używany.</w:t>
            </w:r>
          </w:p>
        </w:tc>
        <w:tc>
          <w:tcPr>
            <w:tcW w:w="1275" w:type="dxa"/>
          </w:tcPr>
          <w:p w14:paraId="76579C0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A0A216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8E07DA5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C9C771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1BA99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Dane techniczne systemu ważącego:</w:t>
            </w:r>
          </w:p>
          <w:p w14:paraId="56B0421E" w14:textId="77777777" w:rsidR="00DB2345" w:rsidRPr="00A00A89" w:rsidRDefault="00DB2345" w:rsidP="00DB2345">
            <w:pPr>
              <w:numPr>
                <w:ilvl w:val="0"/>
                <w:numId w:val="37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 xml:space="preserve">działka odczytowa: </w:t>
            </w:r>
            <w:smartTag w:uri="urn:schemas-microsoft-com:office:smarttags" w:element="metricconverter">
              <w:smartTagPr>
                <w:attr w:name="ProductID" w:val="0,1 kg"/>
              </w:smartTagPr>
              <w:r w:rsidRPr="00A00A89">
                <w:rPr>
                  <w:rFonts w:ascii="Calibri" w:hAnsi="Calibri" w:cs="Calibri"/>
                  <w:color w:val="000000"/>
                  <w:shd w:val="clear" w:color="auto" w:fill="FFFFFF"/>
                </w:rPr>
                <w:t>0,1 kg</w:t>
              </w:r>
            </w:smartTag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,</w:t>
            </w:r>
          </w:p>
          <w:p w14:paraId="42E55E20" w14:textId="77777777" w:rsidR="00DB2345" w:rsidRPr="00A00A89" w:rsidRDefault="00DB2345" w:rsidP="00DB2345">
            <w:pPr>
              <w:numPr>
                <w:ilvl w:val="0"/>
                <w:numId w:val="37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 xml:space="preserve">dokładność pomiaru: </w:t>
            </w:r>
            <w:smartTag w:uri="urn:schemas-microsoft-com:office:smarttags" w:element="metricconverter">
              <w:smartTagPr>
                <w:attr w:name="ProductID" w:val="0,1 kg"/>
              </w:smartTagPr>
              <w:r w:rsidRPr="00A00A89">
                <w:rPr>
                  <w:rFonts w:ascii="Calibri" w:hAnsi="Calibri" w:cs="Calibri"/>
                  <w:color w:val="000000"/>
                  <w:shd w:val="clear" w:color="auto" w:fill="FFFFFF"/>
                </w:rPr>
                <w:t>0,1 kg</w:t>
              </w:r>
            </w:smartTag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,</w:t>
            </w:r>
          </w:p>
          <w:p w14:paraId="7458DAAC" w14:textId="77777777" w:rsidR="00DB2345" w:rsidRPr="00A00A89" w:rsidRDefault="00DB2345" w:rsidP="00DB2345">
            <w:pPr>
              <w:numPr>
                <w:ilvl w:val="0"/>
                <w:numId w:val="37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maksymalne obciążenie: 250,0 kg,</w:t>
            </w:r>
          </w:p>
          <w:p w14:paraId="0FC9EBA7" w14:textId="77777777" w:rsidR="00DB2345" w:rsidRPr="00A00A89" w:rsidRDefault="00DB2345" w:rsidP="00DB2345">
            <w:pPr>
              <w:numPr>
                <w:ilvl w:val="0"/>
                <w:numId w:val="37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klasa dokładności:   III</w:t>
            </w:r>
          </w:p>
        </w:tc>
        <w:tc>
          <w:tcPr>
            <w:tcW w:w="1275" w:type="dxa"/>
          </w:tcPr>
          <w:p w14:paraId="5062203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F79A5F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833238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7411462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CD97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Funkcje sytemu ważącego:</w:t>
            </w:r>
          </w:p>
          <w:p w14:paraId="6456F976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tarowanie wagi za pomocą jednego przycisku,</w:t>
            </w:r>
          </w:p>
          <w:p w14:paraId="77AD1B60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wskazanie aktualnej zmiany wagi pacjenta w stosunku do poprzedniego pomiaru uruchamiane za pomocą jednego przycisku,</w:t>
            </w:r>
          </w:p>
          <w:p w14:paraId="47002736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przełączanie pomiędzy wskazaniami aktualnej wagi a zmianą wagi,</w:t>
            </w:r>
          </w:p>
          <w:p w14:paraId="6BED2DD6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funkcja "zamrażania danych", gwarantująca możliwość dodawania lub odejmowania wyposażenia dodatkowego do łóżka bez wpływu na wyświetlanie rzeczywistej masy pacjenta i jej zmiany w stosunku do poprzedniego pomiaru,</w:t>
            </w:r>
          </w:p>
          <w:p w14:paraId="0504682D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A00A89">
              <w:rPr>
                <w:rFonts w:ascii="Calibri" w:hAnsi="Calibri" w:cs="Calibri"/>
                <w:color w:val="000000"/>
                <w:shd w:val="clear" w:color="auto" w:fill="FFFFFF"/>
              </w:rPr>
              <w:t>wskaźnik rozpoczętej procedury "zamrażania danych" informujący o konieczności jej zakończenia,</w:t>
            </w:r>
          </w:p>
          <w:p w14:paraId="151D3C86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shd w:val="clear" w:color="auto" w:fill="FFFFFF"/>
              </w:rPr>
            </w:pPr>
            <w:r w:rsidRPr="00A00A89">
              <w:rPr>
                <w:rFonts w:ascii="Calibri" w:hAnsi="Calibri" w:cs="Calibri"/>
                <w:shd w:val="clear" w:color="auto" w:fill="FFFFFF"/>
              </w:rPr>
              <w:t>wskaźnik stabilności pomiaru masy,</w:t>
            </w:r>
          </w:p>
          <w:p w14:paraId="1DA7A0AC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shd w:val="clear" w:color="auto" w:fill="FFFFFF"/>
              </w:rPr>
            </w:pPr>
            <w:r w:rsidRPr="00A00A89">
              <w:rPr>
                <w:rFonts w:ascii="Calibri" w:hAnsi="Calibri" w:cs="Calibri"/>
                <w:shd w:val="clear" w:color="auto" w:fill="FFFFFF"/>
              </w:rPr>
              <w:t>wskaźnik aktywnego trybu wyświetlania zmiany wagi pacjenta,</w:t>
            </w:r>
          </w:p>
          <w:p w14:paraId="42CB9E9B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shd w:val="clear" w:color="auto" w:fill="FFFFFF"/>
              </w:rPr>
            </w:pPr>
            <w:r w:rsidRPr="00A00A89">
              <w:rPr>
                <w:rFonts w:ascii="Calibri" w:hAnsi="Calibri" w:cs="Calibri"/>
                <w:shd w:val="clear" w:color="auto" w:fill="FFFFFF"/>
              </w:rPr>
              <w:t>wskazanie przeciążenia wagi,</w:t>
            </w:r>
          </w:p>
          <w:p w14:paraId="18907C06" w14:textId="77777777" w:rsidR="00DB2345" w:rsidRPr="00A00A89" w:rsidRDefault="00DB2345" w:rsidP="00DB2345">
            <w:pPr>
              <w:numPr>
                <w:ilvl w:val="0"/>
                <w:numId w:val="38"/>
              </w:numPr>
              <w:ind w:left="714" w:hanging="357"/>
              <w:rPr>
                <w:rFonts w:ascii="Calibri" w:hAnsi="Calibri" w:cs="Calibri"/>
                <w:shd w:val="clear" w:color="auto" w:fill="FFFFFF"/>
              </w:rPr>
            </w:pPr>
            <w:r w:rsidRPr="00A00A89">
              <w:rPr>
                <w:rFonts w:ascii="Calibri" w:hAnsi="Calibri" w:cs="Calibri"/>
                <w:shd w:val="clear" w:color="auto" w:fill="FFFFFF"/>
              </w:rPr>
              <w:t>zapamiętywanie danych koniecznych do poprawnego kontynuowania pomiarów po wyłączeniu urządzenia</w:t>
            </w:r>
          </w:p>
        </w:tc>
        <w:tc>
          <w:tcPr>
            <w:tcW w:w="1275" w:type="dxa"/>
          </w:tcPr>
          <w:p w14:paraId="79F2B23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EACD9F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205847B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CE819C3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4F312E92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Elementy wyposażenia łóżka:</w:t>
            </w:r>
          </w:p>
          <w:p w14:paraId="2CD483F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materac przeciwodleżynowy zgodnie z opisem w tabeli poniżej – 1 szt.</w:t>
            </w:r>
          </w:p>
          <w:p w14:paraId="6FD8386E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wieszak kroplówki – 1 szt.</w:t>
            </w:r>
          </w:p>
        </w:tc>
        <w:tc>
          <w:tcPr>
            <w:tcW w:w="1275" w:type="dxa"/>
          </w:tcPr>
          <w:p w14:paraId="54F9C4A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CFA1BB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B8707FA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8B85672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32D945AE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Dokumenty potwierdzające antybakteryjność lakieru i tworzywa </w:t>
            </w:r>
            <w:r w:rsidRPr="00A00A89">
              <w:rPr>
                <w:rFonts w:ascii="Calibri" w:hAnsi="Calibri" w:cs="Calibri"/>
              </w:rPr>
              <w:t>(dołączyć do oferty)</w:t>
            </w:r>
          </w:p>
        </w:tc>
        <w:tc>
          <w:tcPr>
            <w:tcW w:w="1275" w:type="dxa"/>
          </w:tcPr>
          <w:p w14:paraId="5452FE2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EEBEA4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7B4B465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649AA0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630DC9AE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Łóżko dostarczone w oryginalnym opakowaniu producenta</w:t>
            </w:r>
          </w:p>
        </w:tc>
        <w:tc>
          <w:tcPr>
            <w:tcW w:w="1275" w:type="dxa"/>
          </w:tcPr>
          <w:p w14:paraId="22FEF5F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A2E27A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E81955E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7A796865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1EA6E580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Powierzchnie łóżka odporne na środki dezynfekcyjne</w:t>
            </w:r>
          </w:p>
        </w:tc>
        <w:tc>
          <w:tcPr>
            <w:tcW w:w="1275" w:type="dxa"/>
          </w:tcPr>
          <w:p w14:paraId="03BF2E4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85E236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0C1C1F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C4BF44A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48E79D1D" w14:textId="77777777" w:rsidR="00DB2345" w:rsidRPr="00A00A89" w:rsidRDefault="00DB2345" w:rsidP="00DB2345">
            <w:pPr>
              <w:ind w:right="144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Deklaracja Zgodności, Wpis lub Zgłoszenie do Urzędu Rejestracji Wyrobów Medycznych.</w:t>
            </w:r>
          </w:p>
        </w:tc>
        <w:tc>
          <w:tcPr>
            <w:tcW w:w="1275" w:type="dxa"/>
          </w:tcPr>
          <w:p w14:paraId="7883406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E4A3AE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987311C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43C41EF" w14:textId="77777777" w:rsidR="00DB2345" w:rsidRPr="00A00A89" w:rsidRDefault="00DB2345" w:rsidP="00DB2345">
            <w:pPr>
              <w:ind w:left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16BA2FB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b/>
              </w:rPr>
              <w:t>Materac przeciwodleżynowy</w:t>
            </w:r>
          </w:p>
        </w:tc>
        <w:tc>
          <w:tcPr>
            <w:tcW w:w="1275" w:type="dxa"/>
          </w:tcPr>
          <w:p w14:paraId="7FC43FC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706" w:type="dxa"/>
            <w:vAlign w:val="center"/>
          </w:tcPr>
          <w:p w14:paraId="26D0F65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A0A60F1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273E04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FED39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Automatyczny materac zmiennociśnieniowy z pompą, stosowany u pacjentów z wysokim ryzykiem powstawania odleżyn. </w:t>
            </w:r>
          </w:p>
        </w:tc>
        <w:tc>
          <w:tcPr>
            <w:tcW w:w="1275" w:type="dxa"/>
          </w:tcPr>
          <w:p w14:paraId="1AEC46A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55E345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975A0E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3B35E31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554D4" w14:textId="77777777" w:rsidR="00DB2345" w:rsidRPr="00A00A89" w:rsidRDefault="00DB2345" w:rsidP="00DB2345">
            <w:pPr>
              <w:rPr>
                <w:rFonts w:ascii="Calibri" w:hAnsi="Calibri" w:cs="Calibri"/>
                <w:color w:val="000000"/>
              </w:rPr>
            </w:pPr>
            <w:r w:rsidRPr="00A00A89">
              <w:rPr>
                <w:rFonts w:ascii="Calibri" w:hAnsi="Calibri" w:cs="Calibri"/>
                <w:color w:val="000000"/>
              </w:rPr>
              <w:t>Materac składa się z min. 16 niezależnych komór powietrznych o wysokości min. 12 cm.</w:t>
            </w:r>
          </w:p>
        </w:tc>
        <w:tc>
          <w:tcPr>
            <w:tcW w:w="1275" w:type="dxa"/>
          </w:tcPr>
          <w:p w14:paraId="6DA4055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86D702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9887AAA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20AA91FD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691B" w14:textId="77777777" w:rsidR="00DB2345" w:rsidRPr="00A00A89" w:rsidRDefault="00DB2345" w:rsidP="00DB2345">
            <w:pPr>
              <w:rPr>
                <w:rFonts w:ascii="Calibri" w:hAnsi="Calibri" w:cs="Calibri"/>
                <w:bCs/>
              </w:rPr>
            </w:pPr>
            <w:r w:rsidRPr="00A00A89">
              <w:rPr>
                <w:rFonts w:ascii="Calibri" w:hAnsi="Calibri" w:cs="Calibri"/>
                <w:bCs/>
              </w:rPr>
              <w:t>W przypadku awarii, możliwość wymiany pojedynczej komory powietrznej.</w:t>
            </w:r>
          </w:p>
        </w:tc>
        <w:tc>
          <w:tcPr>
            <w:tcW w:w="1275" w:type="dxa"/>
          </w:tcPr>
          <w:p w14:paraId="4660149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F03A2C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BCD1CBD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3D6CBF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6E1D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Pod komorami powietrznymi dodatkowy podkład piankowy o grubości min 7 cm.</w:t>
            </w:r>
          </w:p>
        </w:tc>
        <w:tc>
          <w:tcPr>
            <w:tcW w:w="1275" w:type="dxa"/>
          </w:tcPr>
          <w:p w14:paraId="689C2EE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ABFD14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188E198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6D4471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162D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 xml:space="preserve">Wodoodporny, dwuwarstwowy pokrowiec zamykany na zamek błyskawiczny. Pokrowiec rozciągliwy w dwóch kierunkach, oddychający, zapewniający całkowite bezpieczeństwo higieniczne. </w:t>
            </w:r>
          </w:p>
        </w:tc>
        <w:tc>
          <w:tcPr>
            <w:tcW w:w="1275" w:type="dxa"/>
          </w:tcPr>
          <w:p w14:paraId="4F9492B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1CE471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4EEA6C5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6B434135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88E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Pokrowiec wykonany z poliestrowo-</w:t>
            </w:r>
            <w:proofErr w:type="spellStart"/>
            <w:r w:rsidRPr="00A00A89">
              <w:rPr>
                <w:rFonts w:ascii="Calibri" w:hAnsi="Calibri" w:cs="Calibri"/>
              </w:rPr>
              <w:t>polamidowej</w:t>
            </w:r>
            <w:proofErr w:type="spellEnd"/>
            <w:r w:rsidRPr="00A00A89">
              <w:rPr>
                <w:rFonts w:ascii="Calibri" w:hAnsi="Calibri" w:cs="Calibri"/>
              </w:rPr>
              <w:t xml:space="preserve"> powłoki, minimalizującej siły ścinające i utrzymującej skórę pacjenta w odpowiednej kondycji.</w:t>
            </w:r>
          </w:p>
        </w:tc>
        <w:tc>
          <w:tcPr>
            <w:tcW w:w="1275" w:type="dxa"/>
          </w:tcPr>
          <w:p w14:paraId="6A7639D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4950BB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24D6C9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280BE1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A43C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Solidna dolna część pokrowca z paskami zabezpieczającymi do przymocowania materaca do segmentów łóżka i pętlami do zarządzania kablami zasilającymi (kable prowadzone wzdłuż materaca, nie zwisające swobodnie, bez ryzyka np. przytrzaśnięcia poręczami bocznymi podczas ich zamykania).</w:t>
            </w:r>
          </w:p>
        </w:tc>
        <w:tc>
          <w:tcPr>
            <w:tcW w:w="1275" w:type="dxa"/>
          </w:tcPr>
          <w:p w14:paraId="44D678E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2E8A6A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514F0DC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F4BD1A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6DC8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System materaca terapeutycznego z inteligentną redystrybucją ciśnienia z naprzemienną i ciągłą terapią niskociśnieniową, zgodnie z indywidualnymi potrzebami i wskazaniami klinicznymi.</w:t>
            </w:r>
          </w:p>
        </w:tc>
        <w:tc>
          <w:tcPr>
            <w:tcW w:w="1275" w:type="dxa"/>
          </w:tcPr>
          <w:p w14:paraId="59FB514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969A61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E0AF7B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F68E61E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0B73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Dostępne trzy tryby pracy materaca:</w:t>
            </w:r>
          </w:p>
          <w:p w14:paraId="2192445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03540198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naprzemienny tryb terapii niskociśnieniowej: napełnianie i opróżnianie naprzemiennych komórek w seriach po dwie komórki, z wyjątkiem komórek w strefie głowy pacjenta.</w:t>
            </w:r>
          </w:p>
          <w:p w14:paraId="48CDC4BD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19015A0F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ciągły (statyczny) tryb terapii niskociśnieniowej: w sposób ciągły utrzymuje ustalone ciśnienie w komórkach.</w:t>
            </w:r>
          </w:p>
          <w:p w14:paraId="63E8C24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7372B71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tryb maksymalnego napełnienia: szybko napełnia się do maksymalnego ciśnienia (twardości) materaca, ułatwia przenoszenie i zmianę pozycji pacjenta.</w:t>
            </w:r>
          </w:p>
        </w:tc>
        <w:tc>
          <w:tcPr>
            <w:tcW w:w="1275" w:type="dxa"/>
          </w:tcPr>
          <w:p w14:paraId="12E6291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2C36BC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93B4ECA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5CD8DA1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4023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System dystrybucji powietrza w strefie pięt pacjenta, który opróżnia komórki do zerowego ciśnienia niwelując nacisk na powłoki skórne pacjenta w tym obrębie, szczególnie narażonym na powstanie odleżyn.</w:t>
            </w:r>
          </w:p>
        </w:tc>
        <w:tc>
          <w:tcPr>
            <w:tcW w:w="1275" w:type="dxa"/>
          </w:tcPr>
          <w:p w14:paraId="390C791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E8D993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7EF2BD7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34A4844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2AF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Dodatkowe nadmuchiwanie siedziska zwiększa ciśnienie w komorach powietrznych w okolicy kości krzyżowej dla lepszego podparcia, aby ułatwić pacjentowi siadanie - w naprzemiennym trybie niskiego ciśnienia lub w ciągłym (statycznym) trybie niskiego ciśnienia (brak efektu w trybie maksymalnego napełnienia).</w:t>
            </w:r>
          </w:p>
        </w:tc>
        <w:tc>
          <w:tcPr>
            <w:tcW w:w="1275" w:type="dxa"/>
          </w:tcPr>
          <w:p w14:paraId="41547D3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155140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591F2C4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D7186E9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16E24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Dostępne cztery czasy cyklu pracy pompy: 10, 15, 20 i 25 minut.</w:t>
            </w:r>
          </w:p>
        </w:tc>
        <w:tc>
          <w:tcPr>
            <w:tcW w:w="1275" w:type="dxa"/>
          </w:tcPr>
          <w:p w14:paraId="29FB183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0DCFE9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8E350C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BF1DE88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D93B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Parametry pompy:</w:t>
            </w:r>
          </w:p>
          <w:p w14:paraId="07846D66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</w:p>
          <w:p w14:paraId="7E65A809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Wydajność: min. 8 litrów/min.</w:t>
            </w:r>
          </w:p>
          <w:p w14:paraId="1CEC5423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Zakres ciśnienia: min. 20 mmHg – 50mmHg</w:t>
            </w:r>
          </w:p>
        </w:tc>
        <w:tc>
          <w:tcPr>
            <w:tcW w:w="1275" w:type="dxa"/>
          </w:tcPr>
          <w:p w14:paraId="316487B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8B7A93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C1BE5CC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39E2215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E3FE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Możliwość wypuszczenia powietrza przez cały czas w celu zapewnienia bezpiecznych procedur ratunkowych na dwa sposoby: zawór CPR na materacu i przyłącze powietrza CPR na pompie.</w:t>
            </w:r>
          </w:p>
        </w:tc>
        <w:tc>
          <w:tcPr>
            <w:tcW w:w="1275" w:type="dxa"/>
          </w:tcPr>
          <w:p w14:paraId="4036EE5E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663576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B93F8AF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554BC0D7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1CA27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Alarmy:</w:t>
            </w:r>
          </w:p>
          <w:p w14:paraId="4F251009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wizualna i dźwiękowa sygnalizacja awarii ciśnienia powietrza w komorach,</w:t>
            </w:r>
          </w:p>
          <w:p w14:paraId="5BE50940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wizualna i dźwiękowa sygnalizacja awarii zasilania pompy spowodowana awarią zasilania elektrycznego, rozłączeniem lub uszkodzeniem przewodu zasilającego,</w:t>
            </w:r>
          </w:p>
          <w:p w14:paraId="7CA0D03C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- wizualna i dźwiękowa sygnalizacja awarii urządzenia (alarm serwisowy).</w:t>
            </w:r>
          </w:p>
        </w:tc>
        <w:tc>
          <w:tcPr>
            <w:tcW w:w="1275" w:type="dxa"/>
          </w:tcPr>
          <w:p w14:paraId="406194E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A99DBD8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04E2152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76B83E4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B2AB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Sygnalizacja dźwiękowa alarmów jest możliwa do wyciszenia – odpowiednia sygnalizacja wizualna pozostaje aktywna do czasu usunięcia usterki.</w:t>
            </w:r>
          </w:p>
        </w:tc>
        <w:tc>
          <w:tcPr>
            <w:tcW w:w="1275" w:type="dxa"/>
          </w:tcPr>
          <w:p w14:paraId="07E5017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7777218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D4B295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40610235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E86AA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Wymiary materaca: min. 85 cm  x 200 cm  x 19 cm (szerokość x długość x wysokość)</w:t>
            </w:r>
          </w:p>
        </w:tc>
        <w:tc>
          <w:tcPr>
            <w:tcW w:w="1275" w:type="dxa"/>
          </w:tcPr>
          <w:p w14:paraId="30A118A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F3C746C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3055204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077D4A0B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E4942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Bezpieczne obciążenie robocze: min. 250 kg</w:t>
            </w:r>
          </w:p>
        </w:tc>
        <w:tc>
          <w:tcPr>
            <w:tcW w:w="1275" w:type="dxa"/>
          </w:tcPr>
          <w:p w14:paraId="299D4AD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24CAFEA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2ABEEA3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E282B29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060C9738" w14:textId="77777777" w:rsidR="00DB2345" w:rsidRPr="00A00A89" w:rsidRDefault="00DB2345" w:rsidP="00DB2345">
            <w:pPr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Powierzchnie materace odporne na środki dezynfekcyjne</w:t>
            </w:r>
          </w:p>
        </w:tc>
        <w:tc>
          <w:tcPr>
            <w:tcW w:w="1275" w:type="dxa"/>
          </w:tcPr>
          <w:p w14:paraId="2C11F23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78634F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724B7BAE" w14:textId="77777777" w:rsidTr="00A00A89">
        <w:trPr>
          <w:trHeight w:val="175"/>
        </w:trPr>
        <w:tc>
          <w:tcPr>
            <w:tcW w:w="567" w:type="dxa"/>
            <w:vAlign w:val="center"/>
          </w:tcPr>
          <w:p w14:paraId="18EE8815" w14:textId="77777777" w:rsidR="00DB2345" w:rsidRPr="00A00A89" w:rsidRDefault="00DB2345" w:rsidP="00DB2345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tcBorders>
              <w:top w:val="single" w:sz="6" w:space="0" w:color="auto"/>
            </w:tcBorders>
          </w:tcPr>
          <w:p w14:paraId="11E74F32" w14:textId="77777777" w:rsidR="00DB2345" w:rsidRPr="00A00A89" w:rsidRDefault="00DB2345" w:rsidP="00DB2345">
            <w:pPr>
              <w:ind w:right="144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</w:rPr>
              <w:t>Deklaracja Zgodności, Wpis lub Zgłoszenie do Urzędu Rejestracji Wyrobów Medycznych.</w:t>
            </w:r>
          </w:p>
        </w:tc>
        <w:tc>
          <w:tcPr>
            <w:tcW w:w="1275" w:type="dxa"/>
          </w:tcPr>
          <w:p w14:paraId="71D5F92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8C4D5D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56FFFF0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4D4AA5C" w14:textId="77777777" w:rsidR="00DB2345" w:rsidRPr="00A00A89" w:rsidRDefault="00DB2345" w:rsidP="00DB2345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D9877D7" w14:textId="77777777" w:rsidR="00DB2345" w:rsidRPr="00A00A89" w:rsidRDefault="00DB2345" w:rsidP="00DB2345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5D3A6CF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5721A84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1C619BB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4BA66B0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E02593D" w14:textId="5E5FB06B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A00A89">
              <w:rPr>
                <w:rFonts w:ascii="Calibri" w:hAnsi="Calibri" w:cs="Calibri"/>
                <w:b/>
                <w:color w:val="000000"/>
              </w:rPr>
              <w:t xml:space="preserve">okres gwarancji jest parametrem ocenianym w zakresie od 24 do </w:t>
            </w:r>
            <w:r w:rsidR="00110514">
              <w:rPr>
                <w:rFonts w:ascii="Calibri" w:hAnsi="Calibri" w:cs="Calibri"/>
                <w:b/>
                <w:color w:val="000000"/>
              </w:rPr>
              <w:t>48</w:t>
            </w:r>
            <w:r w:rsidRPr="00A00A89">
              <w:rPr>
                <w:rFonts w:ascii="Calibri" w:hAnsi="Calibri" w:cs="Calibri"/>
                <w:b/>
                <w:color w:val="000000"/>
              </w:rPr>
              <w:t xml:space="preserve"> miesięcy zgodnie z zapisami IDW.</w:t>
            </w:r>
          </w:p>
        </w:tc>
        <w:tc>
          <w:tcPr>
            <w:tcW w:w="1275" w:type="dxa"/>
            <w:vAlign w:val="center"/>
          </w:tcPr>
          <w:p w14:paraId="0B2630D6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32C33A5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63C5F77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7D5FE24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7837170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48A39EA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80ADCD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3C4140C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CB3A39D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298A2E3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44ADCB09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A52F9A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0A5F3C95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2E5F17D1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11217AA1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4C6A33D3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1530E7B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2CA2F2BD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2A3E6F1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4DF519D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664AD85D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05B60F1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4D82A9BB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24719CD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CB5787A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A00A89">
              <w:rPr>
                <w:rFonts w:ascii="Calibri" w:hAnsi="Calibri" w:cs="Calibr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58DBEA90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07C28C07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B2345" w:rsidRPr="00A00A89" w14:paraId="1B5CC563" w14:textId="77777777" w:rsidTr="00594D1E">
        <w:trPr>
          <w:trHeight w:val="321"/>
        </w:trPr>
        <w:tc>
          <w:tcPr>
            <w:tcW w:w="567" w:type="dxa"/>
            <w:vAlign w:val="center"/>
          </w:tcPr>
          <w:p w14:paraId="28B645D3" w14:textId="77777777" w:rsidR="00DB2345" w:rsidRPr="00A00A89" w:rsidRDefault="00DB2345" w:rsidP="00DB2345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3A16FCA" w14:textId="77777777" w:rsidR="00DB2345" w:rsidRPr="00A00A89" w:rsidRDefault="00DB2345" w:rsidP="00DB2345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134A84CF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A00A89">
              <w:rPr>
                <w:rFonts w:ascii="Calibri" w:hAnsi="Calibri" w:cs="Calibri"/>
                <w:color w:val="000000"/>
              </w:rPr>
              <w:t xml:space="preserve">tak, </w:t>
            </w:r>
            <w:r w:rsidRPr="00A00A89">
              <w:rPr>
                <w:rFonts w:ascii="Calibri" w:hAnsi="Calibri" w:cs="Calibr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2CD5A662" w14:textId="77777777" w:rsidR="00DB2345" w:rsidRPr="00A00A89" w:rsidRDefault="00DB2345" w:rsidP="00DB234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510D1AE4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  <w:bookmarkStart w:id="1" w:name="_GoBack"/>
      <w:bookmarkEnd w:id="1"/>
    </w:p>
    <w:sectPr w:rsidR="005C5F4F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43E68" w14:textId="77777777" w:rsidR="00A00A89" w:rsidRDefault="00A00A89" w:rsidP="00DC4A2B">
      <w:r>
        <w:separator/>
      </w:r>
    </w:p>
  </w:endnote>
  <w:endnote w:type="continuationSeparator" w:id="0">
    <w:p w14:paraId="3074632F" w14:textId="77777777" w:rsidR="00A00A89" w:rsidRDefault="00A00A89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82925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0BCF4663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937F1" w14:textId="77777777" w:rsidR="00A00A89" w:rsidRDefault="00A00A89" w:rsidP="00DC4A2B">
      <w:r>
        <w:separator/>
      </w:r>
    </w:p>
  </w:footnote>
  <w:footnote w:type="continuationSeparator" w:id="0">
    <w:p w14:paraId="58124809" w14:textId="77777777" w:rsidR="00A00A89" w:rsidRDefault="00A00A89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8DBDD" w14:textId="6402CBFF" w:rsidR="00110514" w:rsidRPr="00FD3538" w:rsidRDefault="00110514" w:rsidP="00110514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6CCC7246" wp14:editId="24868D52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9FA131" w14:textId="77777777" w:rsidR="00A04036" w:rsidRPr="00110514" w:rsidRDefault="00A04036" w:rsidP="001105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D33"/>
    <w:multiLevelType w:val="multilevel"/>
    <w:tmpl w:val="075C8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70DDB"/>
    <w:multiLevelType w:val="multilevel"/>
    <w:tmpl w:val="93AE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2"/>
  </w:num>
  <w:num w:numId="4">
    <w:abstractNumId w:val="25"/>
  </w:num>
  <w:num w:numId="5">
    <w:abstractNumId w:val="20"/>
  </w:num>
  <w:num w:numId="6">
    <w:abstractNumId w:val="14"/>
  </w:num>
  <w:num w:numId="7">
    <w:abstractNumId w:val="21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30"/>
  </w:num>
  <w:num w:numId="13">
    <w:abstractNumId w:val="33"/>
  </w:num>
  <w:num w:numId="14">
    <w:abstractNumId w:val="18"/>
  </w:num>
  <w:num w:numId="15">
    <w:abstractNumId w:val="28"/>
  </w:num>
  <w:num w:numId="16">
    <w:abstractNumId w:val="32"/>
  </w:num>
  <w:num w:numId="17">
    <w:abstractNumId w:val="23"/>
  </w:num>
  <w:num w:numId="18">
    <w:abstractNumId w:val="7"/>
  </w:num>
  <w:num w:numId="19">
    <w:abstractNumId w:val="15"/>
  </w:num>
  <w:num w:numId="20">
    <w:abstractNumId w:val="8"/>
  </w:num>
  <w:num w:numId="21">
    <w:abstractNumId w:val="26"/>
  </w:num>
  <w:num w:numId="22">
    <w:abstractNumId w:val="0"/>
  </w:num>
  <w:num w:numId="23">
    <w:abstractNumId w:val="16"/>
  </w:num>
  <w:num w:numId="24">
    <w:abstractNumId w:val="19"/>
  </w:num>
  <w:num w:numId="25">
    <w:abstractNumId w:val="34"/>
  </w:num>
  <w:num w:numId="26">
    <w:abstractNumId w:val="13"/>
  </w:num>
  <w:num w:numId="27">
    <w:abstractNumId w:val="12"/>
  </w:num>
  <w:num w:numId="28">
    <w:abstractNumId w:val="31"/>
  </w:num>
  <w:num w:numId="29">
    <w:abstractNumId w:val="10"/>
  </w:num>
  <w:num w:numId="30">
    <w:abstractNumId w:val="24"/>
  </w:num>
  <w:num w:numId="31">
    <w:abstractNumId w:val="1"/>
  </w:num>
  <w:num w:numId="32">
    <w:abstractNumId w:val="17"/>
  </w:num>
  <w:num w:numId="33">
    <w:abstractNumId w:val="27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1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26C12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0514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F30"/>
    <w:rsid w:val="004632AB"/>
    <w:rsid w:val="00471DF5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04997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A54C7"/>
    <w:rsid w:val="007C1884"/>
    <w:rsid w:val="007D07DD"/>
    <w:rsid w:val="007E49A8"/>
    <w:rsid w:val="007F45A1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0A89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710A5"/>
    <w:rsid w:val="00D77893"/>
    <w:rsid w:val="00D83133"/>
    <w:rsid w:val="00D84BE0"/>
    <w:rsid w:val="00D8748A"/>
    <w:rsid w:val="00D9125D"/>
    <w:rsid w:val="00D9179E"/>
    <w:rsid w:val="00DA6706"/>
    <w:rsid w:val="00DB2345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E3AF0"/>
    <w:rsid w:val="00EF4F9A"/>
    <w:rsid w:val="00EF556F"/>
    <w:rsid w:val="00F05CED"/>
    <w:rsid w:val="00F1065A"/>
    <w:rsid w:val="00F2247E"/>
    <w:rsid w:val="00F322BB"/>
    <w:rsid w:val="00F41D47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5ED8E651"/>
  <w15:chartTrackingRefBased/>
  <w15:docId w15:val="{09E30604-02C8-4962-ACAB-5FD777DC6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uiPriority w:val="1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ADD8A3-0EE9-4C72-98C8-197C75801A8A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6911d08f-30fe-41f2-b7a9-826573871485"/>
    <ds:schemaRef ds:uri="95f79286-34b9-4f28-bf71-e1f7b7e20e9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2226</Words>
  <Characters>14369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16562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3</cp:revision>
  <cp:lastPrinted>2013-01-30T07:20:00Z</cp:lastPrinted>
  <dcterms:created xsi:type="dcterms:W3CDTF">2026-02-24T18:10:00Z</dcterms:created>
  <dcterms:modified xsi:type="dcterms:W3CDTF">2026-02-28T17:33:00Z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