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056" w:rsidRDefault="00C7377A" w:rsidP="00C7377A">
      <w:pPr>
        <w:pStyle w:val="Standard"/>
        <w:spacing w:after="120" w:line="360" w:lineRule="auto"/>
        <w:rPr>
          <w:rFonts w:ascii="Arial" w:hAnsi="Arial" w:cs="Arial"/>
        </w:rPr>
      </w:pPr>
      <w:r w:rsidRPr="00C7377A">
        <w:rPr>
          <w:rFonts w:ascii="Arial" w:hAnsi="Arial" w:cs="Arial"/>
        </w:rPr>
        <w:t>BIŁ.2233.23.2024.PB</w:t>
      </w:r>
    </w:p>
    <w:p w:rsidR="00B038BC" w:rsidRPr="004F3AAB" w:rsidRDefault="00966648" w:rsidP="004F3AAB">
      <w:pPr>
        <w:pStyle w:val="Standard"/>
        <w:spacing w:after="120" w:line="360" w:lineRule="auto"/>
        <w:ind w:left="6293"/>
        <w:rPr>
          <w:rFonts w:ascii="Arial" w:hAnsi="Arial" w:cs="Arial"/>
        </w:rPr>
      </w:pPr>
      <w:r w:rsidRPr="004F3AAB">
        <w:rPr>
          <w:rFonts w:ascii="Arial" w:hAnsi="Arial" w:cs="Arial"/>
        </w:rPr>
        <w:t>Załącznik nr 1 do</w:t>
      </w:r>
    </w:p>
    <w:p w:rsidR="00B038BC" w:rsidRPr="004F3AAB" w:rsidRDefault="00966648" w:rsidP="004F3AAB">
      <w:pPr>
        <w:pStyle w:val="Standard"/>
        <w:spacing w:after="120" w:line="360" w:lineRule="auto"/>
        <w:ind w:left="6293"/>
        <w:rPr>
          <w:rFonts w:ascii="Arial" w:hAnsi="Arial" w:cs="Arial"/>
        </w:rPr>
      </w:pPr>
      <w:r w:rsidRPr="004F3AAB">
        <w:rPr>
          <w:rFonts w:ascii="Arial" w:hAnsi="Arial" w:cs="Arial"/>
        </w:rPr>
        <w:t>Wniosku o udzielenie zamówienia</w:t>
      </w:r>
    </w:p>
    <w:p w:rsidR="00B038BC" w:rsidRPr="004F3AAB" w:rsidRDefault="00B038BC" w:rsidP="004F3AAB">
      <w:pPr>
        <w:pStyle w:val="Standard"/>
        <w:spacing w:after="120" w:line="360" w:lineRule="auto"/>
        <w:rPr>
          <w:rFonts w:ascii="Arial" w:hAnsi="Arial" w:cs="Arial"/>
        </w:rPr>
      </w:pPr>
    </w:p>
    <w:p w:rsidR="00B038BC" w:rsidRDefault="00966648" w:rsidP="004F3AAB">
      <w:pPr>
        <w:pStyle w:val="Standard"/>
        <w:spacing w:after="120" w:line="360" w:lineRule="auto"/>
        <w:jc w:val="center"/>
        <w:rPr>
          <w:rFonts w:ascii="Arial" w:hAnsi="Arial" w:cs="Arial"/>
          <w:b/>
          <w:bCs/>
        </w:rPr>
      </w:pPr>
      <w:bookmarkStart w:id="0" w:name="_Hlk117663294"/>
      <w:bookmarkStart w:id="1" w:name="_Hlk117785215"/>
      <w:r w:rsidRPr="004F3AAB">
        <w:rPr>
          <w:rFonts w:ascii="Arial" w:hAnsi="Arial" w:cs="Arial"/>
          <w:b/>
          <w:bCs/>
        </w:rPr>
        <w:t>Opis przedmiotu zamówienia</w:t>
      </w:r>
    </w:p>
    <w:p w:rsidR="00A01641" w:rsidRPr="004F3AAB" w:rsidRDefault="00A01641" w:rsidP="004F3AAB">
      <w:pPr>
        <w:pStyle w:val="Standard"/>
        <w:spacing w:after="120" w:line="360" w:lineRule="auto"/>
        <w:jc w:val="center"/>
        <w:rPr>
          <w:rFonts w:ascii="Arial" w:hAnsi="Arial" w:cs="Arial"/>
          <w:b/>
          <w:bCs/>
        </w:rPr>
      </w:pPr>
    </w:p>
    <w:bookmarkEnd w:id="0"/>
    <w:bookmarkEnd w:id="1"/>
    <w:p w:rsidR="00C7377A" w:rsidRPr="000075EB" w:rsidRDefault="00C7377A" w:rsidP="00C7377A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lang w:eastAsia="pl-PL"/>
        </w:rPr>
      </w:pPr>
      <w:r w:rsidRPr="000075EB">
        <w:rPr>
          <w:rFonts w:ascii="Times New Roman" w:eastAsia="Times New Roman" w:hAnsi="Times New Roman" w:cs="Times New Roman"/>
          <w:b/>
          <w:bCs/>
          <w:lang w:eastAsia="pl-PL"/>
        </w:rPr>
        <w:t>1. Przedmiot Zamówienia</w:t>
      </w:r>
    </w:p>
    <w:p w:rsidR="00C7377A" w:rsidRPr="000075EB" w:rsidRDefault="00C7377A" w:rsidP="00C7377A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bookmarkStart w:id="2" w:name="_GoBack"/>
      <w:r w:rsidRPr="000075EB">
        <w:rPr>
          <w:rFonts w:ascii="Times New Roman" w:eastAsia="Times New Roman" w:hAnsi="Times New Roman" w:cs="Times New Roman"/>
          <w:lang w:eastAsia="pl-PL"/>
        </w:rPr>
        <w:t>Zakup licencji na skaner podatności dla 300 urządzeń na okres 24 miesięcy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bookmarkEnd w:id="2"/>
    <w:p w:rsidR="00C7377A" w:rsidRPr="000075EB" w:rsidRDefault="00C7377A" w:rsidP="00C7377A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lang w:eastAsia="pl-PL"/>
        </w:rPr>
      </w:pPr>
      <w:r w:rsidRPr="000075EB">
        <w:rPr>
          <w:rFonts w:ascii="Times New Roman" w:eastAsia="Times New Roman" w:hAnsi="Times New Roman" w:cs="Times New Roman"/>
          <w:b/>
          <w:bCs/>
          <w:lang w:eastAsia="pl-PL"/>
        </w:rPr>
        <w:t>2. Wymagania Funkcjonalne i Techniczne Skanera Podatności</w:t>
      </w:r>
    </w:p>
    <w:p w:rsidR="00C7377A" w:rsidRPr="000075EB" w:rsidRDefault="00C7377A" w:rsidP="00C7377A">
      <w:pPr>
        <w:numPr>
          <w:ilvl w:val="0"/>
          <w:numId w:val="8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lang w:eastAsia="pl-PL"/>
        </w:rPr>
      </w:pPr>
      <w:r w:rsidRPr="000075EB">
        <w:rPr>
          <w:rFonts w:ascii="Times New Roman" w:eastAsia="Times New Roman" w:hAnsi="Times New Roman" w:cs="Times New Roman"/>
          <w:b/>
          <w:bCs/>
          <w:lang w:eastAsia="pl-PL"/>
        </w:rPr>
        <w:t>Identyfikacja Podatności</w:t>
      </w:r>
      <w:r w:rsidRPr="000075EB">
        <w:rPr>
          <w:rFonts w:ascii="Times New Roman" w:eastAsia="Times New Roman" w:hAnsi="Times New Roman" w:cs="Times New Roman"/>
          <w:lang w:eastAsia="pl-PL"/>
        </w:rPr>
        <w:t>: Narzędzie musi umożliwiać identyfikację i analizę podatności na poziomie systemów operacyjnych, aplikacji oraz urządzeń sieciowych.</w:t>
      </w:r>
    </w:p>
    <w:p w:rsidR="00C7377A" w:rsidRPr="000075EB" w:rsidRDefault="00C7377A" w:rsidP="00C7377A">
      <w:pPr>
        <w:numPr>
          <w:ilvl w:val="0"/>
          <w:numId w:val="8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lang w:eastAsia="pl-PL"/>
        </w:rPr>
      </w:pPr>
      <w:r w:rsidRPr="000075EB">
        <w:rPr>
          <w:rFonts w:ascii="Times New Roman" w:eastAsia="Times New Roman" w:hAnsi="Times New Roman" w:cs="Times New Roman"/>
          <w:b/>
          <w:bCs/>
          <w:lang w:eastAsia="pl-PL"/>
        </w:rPr>
        <w:t>Aktualna Baza Podatności</w:t>
      </w:r>
      <w:r w:rsidRPr="000075EB">
        <w:rPr>
          <w:rFonts w:ascii="Times New Roman" w:eastAsia="Times New Roman" w:hAnsi="Times New Roman" w:cs="Times New Roman"/>
          <w:lang w:eastAsia="pl-PL"/>
        </w:rPr>
        <w:t>: Baza musi być regularnie aktualizowana i obejmować znane podatności (np. CVE) oraz inne luki bezpieczeństwa.</w:t>
      </w:r>
    </w:p>
    <w:p w:rsidR="00C7377A" w:rsidRPr="000075EB" w:rsidRDefault="00C7377A" w:rsidP="00C7377A">
      <w:pPr>
        <w:numPr>
          <w:ilvl w:val="0"/>
          <w:numId w:val="8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lang w:eastAsia="pl-PL"/>
        </w:rPr>
      </w:pPr>
      <w:r w:rsidRPr="000075EB">
        <w:rPr>
          <w:rFonts w:ascii="Times New Roman" w:eastAsia="Times New Roman" w:hAnsi="Times New Roman" w:cs="Times New Roman"/>
          <w:b/>
          <w:bCs/>
          <w:lang w:eastAsia="pl-PL"/>
        </w:rPr>
        <w:t>Skanowanie Autoryzowane i Nieautoryzowane</w:t>
      </w:r>
      <w:r w:rsidRPr="000075EB">
        <w:rPr>
          <w:rFonts w:ascii="Times New Roman" w:eastAsia="Times New Roman" w:hAnsi="Times New Roman" w:cs="Times New Roman"/>
          <w:lang w:eastAsia="pl-PL"/>
        </w:rPr>
        <w:t>: Narzędzie powinno umożliwiać zarówno skanowanie autoryzowane (przy wykorzystaniu danych uwierzytelniających), jak i nieautoryzowane.</w:t>
      </w:r>
    </w:p>
    <w:p w:rsidR="00C7377A" w:rsidRPr="000075EB" w:rsidRDefault="00C7377A" w:rsidP="00C7377A">
      <w:pPr>
        <w:numPr>
          <w:ilvl w:val="0"/>
          <w:numId w:val="8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lang w:eastAsia="pl-PL"/>
        </w:rPr>
      </w:pPr>
      <w:r w:rsidRPr="000075EB">
        <w:rPr>
          <w:rFonts w:ascii="Times New Roman" w:eastAsia="Times New Roman" w:hAnsi="Times New Roman" w:cs="Times New Roman"/>
          <w:b/>
          <w:bCs/>
          <w:lang w:eastAsia="pl-PL"/>
        </w:rPr>
        <w:t>Elastyczność Trybów Skanowania</w:t>
      </w:r>
      <w:r w:rsidRPr="000075EB">
        <w:rPr>
          <w:rFonts w:ascii="Times New Roman" w:eastAsia="Times New Roman" w:hAnsi="Times New Roman" w:cs="Times New Roman"/>
          <w:lang w:eastAsia="pl-PL"/>
        </w:rPr>
        <w:t>: Możliwość wykonywania pełnych skanów, skanów przyrostowych, skanów aplikacji webowych oraz szybkich skanów wybranych zasobów.</w:t>
      </w:r>
    </w:p>
    <w:p w:rsidR="00C7377A" w:rsidRPr="000075EB" w:rsidRDefault="00C7377A" w:rsidP="00C7377A">
      <w:pPr>
        <w:numPr>
          <w:ilvl w:val="0"/>
          <w:numId w:val="8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lang w:eastAsia="pl-PL"/>
        </w:rPr>
      </w:pPr>
      <w:r w:rsidRPr="000075EB">
        <w:rPr>
          <w:rFonts w:ascii="Times New Roman" w:eastAsia="Times New Roman" w:hAnsi="Times New Roman" w:cs="Times New Roman"/>
          <w:b/>
          <w:bCs/>
          <w:lang w:eastAsia="pl-PL"/>
        </w:rPr>
        <w:t>Audyt Zgodności</w:t>
      </w:r>
      <w:r w:rsidRPr="000075EB">
        <w:rPr>
          <w:rFonts w:ascii="Times New Roman" w:eastAsia="Times New Roman" w:hAnsi="Times New Roman" w:cs="Times New Roman"/>
          <w:lang w:eastAsia="pl-PL"/>
        </w:rPr>
        <w:t>: Wsparcie dla audytów zgodności z wytycznymi i regulacjami (np. PCI-DSS, HIPAA, GDPR).</w:t>
      </w:r>
    </w:p>
    <w:p w:rsidR="00C7377A" w:rsidRPr="000075EB" w:rsidRDefault="00C7377A" w:rsidP="00C7377A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lang w:eastAsia="pl-PL"/>
        </w:rPr>
      </w:pPr>
      <w:r w:rsidRPr="000075EB">
        <w:rPr>
          <w:rFonts w:ascii="Times New Roman" w:eastAsia="Times New Roman" w:hAnsi="Times New Roman" w:cs="Times New Roman"/>
          <w:b/>
          <w:bCs/>
          <w:lang w:eastAsia="pl-PL"/>
        </w:rPr>
        <w:t>3. Wymagania Integracji</w:t>
      </w:r>
    </w:p>
    <w:p w:rsidR="00C7377A" w:rsidRPr="000075EB" w:rsidRDefault="00C7377A" w:rsidP="00C7377A">
      <w:pPr>
        <w:numPr>
          <w:ilvl w:val="0"/>
          <w:numId w:val="9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lang w:eastAsia="pl-PL"/>
        </w:rPr>
      </w:pPr>
      <w:r w:rsidRPr="000075EB">
        <w:rPr>
          <w:rFonts w:ascii="Times New Roman" w:eastAsia="Times New Roman" w:hAnsi="Times New Roman" w:cs="Times New Roman"/>
          <w:b/>
          <w:bCs/>
          <w:lang w:eastAsia="pl-PL"/>
        </w:rPr>
        <w:t>Integracja z Trellix XDR</w:t>
      </w:r>
      <w:r w:rsidRPr="000075EB">
        <w:rPr>
          <w:rFonts w:ascii="Times New Roman" w:eastAsia="Times New Roman" w:hAnsi="Times New Roman" w:cs="Times New Roman"/>
          <w:lang w:eastAsia="pl-PL"/>
        </w:rPr>
        <w:t>: Narzędzie musi wspierać integrację z platformą Trellix XDR, zarówno dla wersji on-premise, jak i cloud, aby zapewnić centralizację danych o podatnościach oraz ich zarządzanie.</w:t>
      </w:r>
    </w:p>
    <w:p w:rsidR="00C7377A" w:rsidRPr="000075EB" w:rsidRDefault="00C7377A" w:rsidP="00C7377A">
      <w:pPr>
        <w:numPr>
          <w:ilvl w:val="0"/>
          <w:numId w:val="9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lang w:eastAsia="pl-PL"/>
        </w:rPr>
      </w:pPr>
      <w:r w:rsidRPr="000075EB">
        <w:rPr>
          <w:rFonts w:ascii="Times New Roman" w:eastAsia="Times New Roman" w:hAnsi="Times New Roman" w:cs="Times New Roman"/>
          <w:b/>
          <w:bCs/>
          <w:lang w:eastAsia="pl-PL"/>
        </w:rPr>
        <w:t>API</w:t>
      </w:r>
      <w:r w:rsidRPr="000075EB">
        <w:rPr>
          <w:rFonts w:ascii="Times New Roman" w:eastAsia="Times New Roman" w:hAnsi="Times New Roman" w:cs="Times New Roman"/>
          <w:lang w:eastAsia="pl-PL"/>
        </w:rPr>
        <w:t>: Wymagana jest dostępność API, które pozwoli na integrację z zewnętrznymi narzędziami do zarządzania incydentami bezpieczeństwa, systemami zarządzania ryzykiem (SIEM, CMDB), a także do automatyzacji działań naprawczych.</w:t>
      </w:r>
    </w:p>
    <w:p w:rsidR="00C7377A" w:rsidRPr="000075EB" w:rsidRDefault="00C7377A" w:rsidP="00C7377A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lang w:eastAsia="pl-PL"/>
        </w:rPr>
      </w:pPr>
      <w:r w:rsidRPr="000075EB">
        <w:rPr>
          <w:rFonts w:ascii="Times New Roman" w:eastAsia="Times New Roman" w:hAnsi="Times New Roman" w:cs="Times New Roman"/>
          <w:b/>
          <w:bCs/>
          <w:lang w:eastAsia="pl-PL"/>
        </w:rPr>
        <w:t>4. Wymagania Wydajnościowe i Skalowalność</w:t>
      </w:r>
    </w:p>
    <w:p w:rsidR="00C7377A" w:rsidRPr="000075EB" w:rsidRDefault="00C7377A" w:rsidP="00C7377A">
      <w:pPr>
        <w:numPr>
          <w:ilvl w:val="0"/>
          <w:numId w:val="10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lang w:eastAsia="pl-PL"/>
        </w:rPr>
      </w:pPr>
      <w:r w:rsidRPr="000075EB">
        <w:rPr>
          <w:rFonts w:ascii="Times New Roman" w:eastAsia="Times New Roman" w:hAnsi="Times New Roman" w:cs="Times New Roman"/>
          <w:b/>
          <w:bCs/>
          <w:lang w:eastAsia="pl-PL"/>
        </w:rPr>
        <w:t>Obsługa do 300 Urządzeń</w:t>
      </w:r>
      <w:r w:rsidRPr="000075EB">
        <w:rPr>
          <w:rFonts w:ascii="Times New Roman" w:eastAsia="Times New Roman" w:hAnsi="Times New Roman" w:cs="Times New Roman"/>
          <w:lang w:eastAsia="pl-PL"/>
        </w:rPr>
        <w:t>: Licencja powinna obejmować minimum 300 urządzeń z możliwością skalowalności.</w:t>
      </w:r>
    </w:p>
    <w:p w:rsidR="00C7377A" w:rsidRPr="000075EB" w:rsidRDefault="00C7377A" w:rsidP="00C7377A">
      <w:pPr>
        <w:numPr>
          <w:ilvl w:val="0"/>
          <w:numId w:val="10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lang w:eastAsia="pl-PL"/>
        </w:rPr>
      </w:pPr>
      <w:r w:rsidRPr="000075EB">
        <w:rPr>
          <w:rFonts w:ascii="Times New Roman" w:eastAsia="Times New Roman" w:hAnsi="Times New Roman" w:cs="Times New Roman"/>
          <w:b/>
          <w:bCs/>
          <w:lang w:eastAsia="pl-PL"/>
        </w:rPr>
        <w:t>Wiele Sesji Równoległych</w:t>
      </w:r>
      <w:r w:rsidRPr="000075EB">
        <w:rPr>
          <w:rFonts w:ascii="Times New Roman" w:eastAsia="Times New Roman" w:hAnsi="Times New Roman" w:cs="Times New Roman"/>
          <w:lang w:eastAsia="pl-PL"/>
        </w:rPr>
        <w:t>: Możliwość równoczesnego skanowania w wielu sesjach, bez wpływu na wydajność narzędzia.</w:t>
      </w:r>
    </w:p>
    <w:p w:rsidR="00C7377A" w:rsidRPr="000075EB" w:rsidRDefault="00C7377A" w:rsidP="00C7377A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lang w:eastAsia="pl-PL"/>
        </w:rPr>
      </w:pPr>
      <w:r w:rsidRPr="000075EB">
        <w:rPr>
          <w:rFonts w:ascii="Times New Roman" w:eastAsia="Times New Roman" w:hAnsi="Times New Roman" w:cs="Times New Roman"/>
          <w:b/>
          <w:bCs/>
          <w:lang w:eastAsia="pl-PL"/>
        </w:rPr>
        <w:t>5. Wymagania Bezpieczeństwa</w:t>
      </w:r>
    </w:p>
    <w:p w:rsidR="00C7377A" w:rsidRPr="000075EB" w:rsidRDefault="00C7377A" w:rsidP="00C7377A">
      <w:pPr>
        <w:numPr>
          <w:ilvl w:val="0"/>
          <w:numId w:val="11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lang w:eastAsia="pl-PL"/>
        </w:rPr>
      </w:pPr>
      <w:r w:rsidRPr="000075EB">
        <w:rPr>
          <w:rFonts w:ascii="Times New Roman" w:eastAsia="Times New Roman" w:hAnsi="Times New Roman" w:cs="Times New Roman"/>
          <w:b/>
          <w:bCs/>
          <w:lang w:eastAsia="pl-PL"/>
        </w:rPr>
        <w:t>Zabezpieczenia Dostępu</w:t>
      </w:r>
      <w:r w:rsidRPr="000075EB">
        <w:rPr>
          <w:rFonts w:ascii="Times New Roman" w:eastAsia="Times New Roman" w:hAnsi="Times New Roman" w:cs="Times New Roman"/>
          <w:lang w:eastAsia="pl-PL"/>
        </w:rPr>
        <w:t>: Autoryzacja i uwierzytelnianie użytkowników (np. integracja z LDAP/Active Directory).</w:t>
      </w:r>
    </w:p>
    <w:p w:rsidR="00C7377A" w:rsidRPr="000075EB" w:rsidRDefault="00C7377A" w:rsidP="00C7377A">
      <w:pPr>
        <w:numPr>
          <w:ilvl w:val="0"/>
          <w:numId w:val="11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lang w:eastAsia="pl-PL"/>
        </w:rPr>
      </w:pPr>
      <w:r w:rsidRPr="000075EB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Logowanie i Audyt</w:t>
      </w:r>
      <w:r w:rsidRPr="000075EB">
        <w:rPr>
          <w:rFonts w:ascii="Times New Roman" w:eastAsia="Times New Roman" w:hAnsi="Times New Roman" w:cs="Times New Roman"/>
          <w:lang w:eastAsia="pl-PL"/>
        </w:rPr>
        <w:t>: Funkcje logowania zdarzeń oraz audytowania dostępu i działań w narzędziu.</w:t>
      </w:r>
    </w:p>
    <w:p w:rsidR="00C7377A" w:rsidRPr="000075EB" w:rsidRDefault="00C7377A" w:rsidP="00C7377A">
      <w:pPr>
        <w:numPr>
          <w:ilvl w:val="0"/>
          <w:numId w:val="11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lang w:eastAsia="pl-PL"/>
        </w:rPr>
      </w:pPr>
      <w:r w:rsidRPr="000075EB">
        <w:rPr>
          <w:rFonts w:ascii="Times New Roman" w:eastAsia="Times New Roman" w:hAnsi="Times New Roman" w:cs="Times New Roman"/>
          <w:b/>
          <w:bCs/>
          <w:lang w:eastAsia="pl-PL"/>
        </w:rPr>
        <w:t>Szyfrowanie Komunikacji</w:t>
      </w:r>
      <w:r w:rsidRPr="000075EB">
        <w:rPr>
          <w:rFonts w:ascii="Times New Roman" w:eastAsia="Times New Roman" w:hAnsi="Times New Roman" w:cs="Times New Roman"/>
          <w:lang w:eastAsia="pl-PL"/>
        </w:rPr>
        <w:t>: Szyfrowanie komunikacji między komponentami narzędzia (np. podczas przesyłania danych między agentami i serwerem).</w:t>
      </w:r>
    </w:p>
    <w:p w:rsidR="00C7377A" w:rsidRPr="000075EB" w:rsidRDefault="00C7377A" w:rsidP="00C7377A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lang w:eastAsia="pl-PL"/>
        </w:rPr>
      </w:pPr>
      <w:r w:rsidRPr="000075EB">
        <w:rPr>
          <w:rFonts w:ascii="Times New Roman" w:eastAsia="Times New Roman" w:hAnsi="Times New Roman" w:cs="Times New Roman"/>
          <w:b/>
          <w:bCs/>
          <w:lang w:eastAsia="pl-PL"/>
        </w:rPr>
        <w:t>6. Wymagania Dotyczące Raportowania i Analizy</w:t>
      </w:r>
    </w:p>
    <w:p w:rsidR="00C7377A" w:rsidRPr="000075EB" w:rsidRDefault="00C7377A" w:rsidP="00C7377A">
      <w:pPr>
        <w:numPr>
          <w:ilvl w:val="0"/>
          <w:numId w:val="12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lang w:eastAsia="pl-PL"/>
        </w:rPr>
      </w:pPr>
      <w:r w:rsidRPr="000075EB">
        <w:rPr>
          <w:rFonts w:ascii="Times New Roman" w:eastAsia="Times New Roman" w:hAnsi="Times New Roman" w:cs="Times New Roman"/>
          <w:b/>
          <w:bCs/>
          <w:lang w:eastAsia="pl-PL"/>
        </w:rPr>
        <w:t>Raportowanie Podatności</w:t>
      </w:r>
      <w:r w:rsidRPr="000075EB">
        <w:rPr>
          <w:rFonts w:ascii="Times New Roman" w:eastAsia="Times New Roman" w:hAnsi="Times New Roman" w:cs="Times New Roman"/>
          <w:lang w:eastAsia="pl-PL"/>
        </w:rPr>
        <w:t>: Narzędzie powinno generować szczegółowe raporty obejmujące wyniki skanowania, analizę ryzyka i rekomendacje naprawcze.</w:t>
      </w:r>
    </w:p>
    <w:p w:rsidR="00C7377A" w:rsidRPr="000075EB" w:rsidRDefault="00C7377A" w:rsidP="00C7377A">
      <w:pPr>
        <w:numPr>
          <w:ilvl w:val="0"/>
          <w:numId w:val="12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lang w:eastAsia="pl-PL"/>
        </w:rPr>
      </w:pPr>
      <w:r w:rsidRPr="000075EB">
        <w:rPr>
          <w:rFonts w:ascii="Times New Roman" w:eastAsia="Times New Roman" w:hAnsi="Times New Roman" w:cs="Times New Roman"/>
          <w:b/>
          <w:bCs/>
          <w:lang w:eastAsia="pl-PL"/>
        </w:rPr>
        <w:t>Dostosowanie Raportów</w:t>
      </w:r>
      <w:r w:rsidRPr="000075EB">
        <w:rPr>
          <w:rFonts w:ascii="Times New Roman" w:eastAsia="Times New Roman" w:hAnsi="Times New Roman" w:cs="Times New Roman"/>
          <w:lang w:eastAsia="pl-PL"/>
        </w:rPr>
        <w:t>: Możliwość tworzenia raportów dostosowanych do potrzeb różnych grup odbiorców.</w:t>
      </w:r>
    </w:p>
    <w:p w:rsidR="00C7377A" w:rsidRPr="000075EB" w:rsidRDefault="00C7377A" w:rsidP="00C7377A">
      <w:pPr>
        <w:numPr>
          <w:ilvl w:val="0"/>
          <w:numId w:val="12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lang w:eastAsia="pl-PL"/>
        </w:rPr>
      </w:pPr>
      <w:r w:rsidRPr="000075EB">
        <w:rPr>
          <w:rFonts w:ascii="Times New Roman" w:eastAsia="Times New Roman" w:hAnsi="Times New Roman" w:cs="Times New Roman"/>
          <w:b/>
          <w:bCs/>
          <w:lang w:eastAsia="pl-PL"/>
        </w:rPr>
        <w:t>Priorytetyzacja Podatności</w:t>
      </w:r>
      <w:r w:rsidRPr="000075EB">
        <w:rPr>
          <w:rFonts w:ascii="Times New Roman" w:eastAsia="Times New Roman" w:hAnsi="Times New Roman" w:cs="Times New Roman"/>
          <w:lang w:eastAsia="pl-PL"/>
        </w:rPr>
        <w:t>: Narzędzie musi umożliwiać klasyfikację podatności na podstawie krytyczności, aby ułatwić priorytetyzację działań naprawczych.</w:t>
      </w:r>
    </w:p>
    <w:p w:rsidR="00C7377A" w:rsidRPr="000075EB" w:rsidRDefault="00C7377A" w:rsidP="00C7377A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lang w:eastAsia="pl-PL"/>
        </w:rPr>
      </w:pPr>
      <w:r w:rsidRPr="000075EB">
        <w:rPr>
          <w:rFonts w:ascii="Times New Roman" w:eastAsia="Times New Roman" w:hAnsi="Times New Roman" w:cs="Times New Roman"/>
          <w:b/>
          <w:bCs/>
          <w:lang w:eastAsia="pl-PL"/>
        </w:rPr>
        <w:t>7. Wdrożenie i Konfiguracja</w:t>
      </w:r>
    </w:p>
    <w:p w:rsidR="00C7377A" w:rsidRPr="000075EB" w:rsidRDefault="00C7377A" w:rsidP="00C7377A">
      <w:pPr>
        <w:numPr>
          <w:ilvl w:val="0"/>
          <w:numId w:val="13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lang w:eastAsia="pl-PL"/>
        </w:rPr>
      </w:pPr>
      <w:r w:rsidRPr="000075EB">
        <w:rPr>
          <w:rFonts w:ascii="Times New Roman" w:eastAsia="Times New Roman" w:hAnsi="Times New Roman" w:cs="Times New Roman"/>
          <w:b/>
          <w:bCs/>
          <w:lang w:eastAsia="pl-PL"/>
        </w:rPr>
        <w:t>Usługa Wdrożenia</w:t>
      </w:r>
      <w:r w:rsidRPr="000075EB">
        <w:rPr>
          <w:rFonts w:ascii="Times New Roman" w:eastAsia="Times New Roman" w:hAnsi="Times New Roman" w:cs="Times New Roman"/>
          <w:lang w:eastAsia="pl-PL"/>
        </w:rPr>
        <w:t>: Wykonawca zapewni pełne wdrożenie, konfigurację i dostosowanie narzędzia do środowiska zamawiającego</w:t>
      </w:r>
      <w:r w:rsidR="0000424F">
        <w:rPr>
          <w:rFonts w:ascii="Times New Roman" w:eastAsia="Times New Roman" w:hAnsi="Times New Roman" w:cs="Times New Roman"/>
          <w:lang w:eastAsia="pl-PL"/>
        </w:rPr>
        <w:t xml:space="preserve"> nie później</w:t>
      </w:r>
      <w:r w:rsidR="00D04AA6">
        <w:rPr>
          <w:rFonts w:ascii="Times New Roman" w:eastAsia="Times New Roman" w:hAnsi="Times New Roman" w:cs="Times New Roman"/>
          <w:lang w:eastAsia="pl-PL"/>
        </w:rPr>
        <w:t>,</w:t>
      </w:r>
      <w:r w:rsidR="0000424F">
        <w:rPr>
          <w:rFonts w:ascii="Times New Roman" w:eastAsia="Times New Roman" w:hAnsi="Times New Roman" w:cs="Times New Roman"/>
          <w:lang w:eastAsia="pl-PL"/>
        </w:rPr>
        <w:t xml:space="preserve"> niż do dnia 18.12.2024 r</w:t>
      </w:r>
      <w:r w:rsidRPr="000075EB">
        <w:rPr>
          <w:rFonts w:ascii="Times New Roman" w:eastAsia="Times New Roman" w:hAnsi="Times New Roman" w:cs="Times New Roman"/>
          <w:lang w:eastAsia="pl-PL"/>
        </w:rPr>
        <w:t>.</w:t>
      </w:r>
    </w:p>
    <w:p w:rsidR="00C7377A" w:rsidRPr="000075EB" w:rsidRDefault="00C7377A" w:rsidP="00C7377A">
      <w:pPr>
        <w:numPr>
          <w:ilvl w:val="0"/>
          <w:numId w:val="13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lang w:eastAsia="pl-PL"/>
        </w:rPr>
      </w:pPr>
      <w:r w:rsidRPr="000075EB">
        <w:rPr>
          <w:rFonts w:ascii="Times New Roman" w:eastAsia="Times New Roman" w:hAnsi="Times New Roman" w:cs="Times New Roman"/>
          <w:b/>
          <w:bCs/>
          <w:lang w:eastAsia="pl-PL"/>
        </w:rPr>
        <w:t>Szkolenie Użytkowników</w:t>
      </w:r>
      <w:r w:rsidRPr="000075EB">
        <w:rPr>
          <w:rFonts w:ascii="Times New Roman" w:eastAsia="Times New Roman" w:hAnsi="Times New Roman" w:cs="Times New Roman"/>
          <w:lang w:eastAsia="pl-PL"/>
        </w:rPr>
        <w:t>: Przeprowadzenie szkolenia dla administratorów.</w:t>
      </w:r>
    </w:p>
    <w:p w:rsidR="00C7377A" w:rsidRPr="000075EB" w:rsidRDefault="00C7377A" w:rsidP="00C7377A">
      <w:pPr>
        <w:numPr>
          <w:ilvl w:val="0"/>
          <w:numId w:val="13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lang w:eastAsia="pl-PL"/>
        </w:rPr>
      </w:pPr>
      <w:r w:rsidRPr="000075EB">
        <w:rPr>
          <w:rFonts w:ascii="Times New Roman" w:eastAsia="Times New Roman" w:hAnsi="Times New Roman" w:cs="Times New Roman"/>
          <w:b/>
          <w:bCs/>
          <w:lang w:eastAsia="pl-PL"/>
        </w:rPr>
        <w:t>Testy i Walidacja</w:t>
      </w:r>
      <w:r w:rsidRPr="000075EB">
        <w:rPr>
          <w:rFonts w:ascii="Times New Roman" w:eastAsia="Times New Roman" w:hAnsi="Times New Roman" w:cs="Times New Roman"/>
          <w:lang w:eastAsia="pl-PL"/>
        </w:rPr>
        <w:t>: Wykonanie testowych skanów w celu weryfikacji wyników i dopasowania konfiguracji do środowiska zamawiającego.</w:t>
      </w:r>
    </w:p>
    <w:p w:rsidR="00C7377A" w:rsidRPr="000075EB" w:rsidRDefault="00C7377A" w:rsidP="00C7377A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lang w:eastAsia="pl-PL"/>
        </w:rPr>
      </w:pPr>
      <w:r w:rsidRPr="000075EB">
        <w:rPr>
          <w:rFonts w:ascii="Times New Roman" w:eastAsia="Times New Roman" w:hAnsi="Times New Roman" w:cs="Times New Roman"/>
          <w:b/>
          <w:bCs/>
          <w:lang w:eastAsia="pl-PL"/>
        </w:rPr>
        <w:t>8. Wsparcie Techniczne</w:t>
      </w:r>
    </w:p>
    <w:p w:rsidR="00C7377A" w:rsidRPr="000075EB" w:rsidRDefault="00C7377A" w:rsidP="00C7377A">
      <w:pPr>
        <w:numPr>
          <w:ilvl w:val="0"/>
          <w:numId w:val="14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lang w:eastAsia="pl-PL"/>
        </w:rPr>
      </w:pPr>
      <w:r w:rsidRPr="000075EB">
        <w:rPr>
          <w:rFonts w:ascii="Times New Roman" w:eastAsia="Times New Roman" w:hAnsi="Times New Roman" w:cs="Times New Roman"/>
          <w:b/>
          <w:bCs/>
          <w:lang w:eastAsia="pl-PL"/>
        </w:rPr>
        <w:t>Wsparcie na Okres Licencji</w:t>
      </w:r>
      <w:r w:rsidRPr="000075EB">
        <w:rPr>
          <w:rFonts w:ascii="Times New Roman" w:eastAsia="Times New Roman" w:hAnsi="Times New Roman" w:cs="Times New Roman"/>
          <w:lang w:eastAsia="pl-PL"/>
        </w:rPr>
        <w:t>: Gwarancja wsparcia technicznego przez 24 miesiące, dostępność wsparcia 24/7 (w języku polskim lub angielskim).</w:t>
      </w:r>
    </w:p>
    <w:p w:rsidR="00C7377A" w:rsidRPr="000075EB" w:rsidRDefault="00C7377A" w:rsidP="00C7377A">
      <w:pPr>
        <w:numPr>
          <w:ilvl w:val="0"/>
          <w:numId w:val="14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lang w:eastAsia="pl-PL"/>
        </w:rPr>
      </w:pPr>
      <w:r w:rsidRPr="000075EB">
        <w:rPr>
          <w:rFonts w:ascii="Times New Roman" w:eastAsia="Times New Roman" w:hAnsi="Times New Roman" w:cs="Times New Roman"/>
          <w:b/>
          <w:bCs/>
          <w:lang w:eastAsia="pl-PL"/>
        </w:rPr>
        <w:t>Pomoc w Rozwiązywaniu Problemów</w:t>
      </w:r>
      <w:r w:rsidRPr="000075EB">
        <w:rPr>
          <w:rFonts w:ascii="Times New Roman" w:eastAsia="Times New Roman" w:hAnsi="Times New Roman" w:cs="Times New Roman"/>
          <w:lang w:eastAsia="pl-PL"/>
        </w:rPr>
        <w:t>: Możliwość kontaktu w celu zgłaszania incydentów, rozwiązywania problemów oraz konsultacji technicznych.</w:t>
      </w:r>
    </w:p>
    <w:p w:rsidR="00AB00FA" w:rsidRPr="004F3AAB" w:rsidRDefault="00AB00FA" w:rsidP="004F3AAB">
      <w:pPr>
        <w:pStyle w:val="Standard"/>
        <w:spacing w:after="120" w:line="360" w:lineRule="auto"/>
        <w:rPr>
          <w:rFonts w:ascii="Arial" w:hAnsi="Arial" w:cs="Arial"/>
        </w:rPr>
      </w:pPr>
    </w:p>
    <w:sectPr w:rsidR="00AB00FA" w:rsidRPr="004F3AAB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239" w:rsidRDefault="00AB2239">
      <w:pPr>
        <w:rPr>
          <w:rFonts w:hint="eastAsia"/>
        </w:rPr>
      </w:pPr>
      <w:r>
        <w:separator/>
      </w:r>
    </w:p>
  </w:endnote>
  <w:endnote w:type="continuationSeparator" w:id="0">
    <w:p w:rsidR="00AB2239" w:rsidRDefault="00AB223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239" w:rsidRDefault="00AB2239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AB2239" w:rsidRDefault="00AB2239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41FA2"/>
    <w:multiLevelType w:val="hybridMultilevel"/>
    <w:tmpl w:val="9EEAF15C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F332CF3"/>
    <w:multiLevelType w:val="hybridMultilevel"/>
    <w:tmpl w:val="586225AC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93158B"/>
    <w:multiLevelType w:val="multilevel"/>
    <w:tmpl w:val="49E06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030699"/>
    <w:multiLevelType w:val="multilevel"/>
    <w:tmpl w:val="7542C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4C0E35"/>
    <w:multiLevelType w:val="multilevel"/>
    <w:tmpl w:val="7756B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817DA0"/>
    <w:multiLevelType w:val="multilevel"/>
    <w:tmpl w:val="664E5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2B6FFB"/>
    <w:multiLevelType w:val="multilevel"/>
    <w:tmpl w:val="72C2E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9D5AB3"/>
    <w:multiLevelType w:val="hybridMultilevel"/>
    <w:tmpl w:val="A016F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1B79DD"/>
    <w:multiLevelType w:val="hybridMultilevel"/>
    <w:tmpl w:val="C05644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BE77451"/>
    <w:multiLevelType w:val="multilevel"/>
    <w:tmpl w:val="2C064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6D3681D"/>
    <w:multiLevelType w:val="multilevel"/>
    <w:tmpl w:val="EAF0A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E67366"/>
    <w:multiLevelType w:val="hybridMultilevel"/>
    <w:tmpl w:val="BA748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F672EE"/>
    <w:multiLevelType w:val="hybridMultilevel"/>
    <w:tmpl w:val="0E401A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D02683"/>
    <w:multiLevelType w:val="hybridMultilevel"/>
    <w:tmpl w:val="70087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2"/>
  </w:num>
  <w:num w:numId="5">
    <w:abstractNumId w:val="13"/>
  </w:num>
  <w:num w:numId="6">
    <w:abstractNumId w:val="11"/>
  </w:num>
  <w:num w:numId="7">
    <w:abstractNumId w:val="8"/>
  </w:num>
  <w:num w:numId="8">
    <w:abstractNumId w:val="3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8BC"/>
    <w:rsid w:val="0000424F"/>
    <w:rsid w:val="00136015"/>
    <w:rsid w:val="00182056"/>
    <w:rsid w:val="001960FA"/>
    <w:rsid w:val="001B633F"/>
    <w:rsid w:val="00234230"/>
    <w:rsid w:val="00276137"/>
    <w:rsid w:val="00350A5F"/>
    <w:rsid w:val="003849AB"/>
    <w:rsid w:val="003B5A56"/>
    <w:rsid w:val="003E19D7"/>
    <w:rsid w:val="004B51C9"/>
    <w:rsid w:val="004D2358"/>
    <w:rsid w:val="004F3AAB"/>
    <w:rsid w:val="005166F1"/>
    <w:rsid w:val="006D253D"/>
    <w:rsid w:val="006D72B4"/>
    <w:rsid w:val="00715993"/>
    <w:rsid w:val="00762000"/>
    <w:rsid w:val="008243D9"/>
    <w:rsid w:val="00860408"/>
    <w:rsid w:val="008A6D92"/>
    <w:rsid w:val="008B7715"/>
    <w:rsid w:val="009423C3"/>
    <w:rsid w:val="0095753D"/>
    <w:rsid w:val="00966648"/>
    <w:rsid w:val="009A7CDD"/>
    <w:rsid w:val="00A01641"/>
    <w:rsid w:val="00A70E24"/>
    <w:rsid w:val="00AB00FA"/>
    <w:rsid w:val="00AB2239"/>
    <w:rsid w:val="00B038BC"/>
    <w:rsid w:val="00B122CF"/>
    <w:rsid w:val="00B74AC6"/>
    <w:rsid w:val="00B84B55"/>
    <w:rsid w:val="00BB3928"/>
    <w:rsid w:val="00BC3288"/>
    <w:rsid w:val="00C7377A"/>
    <w:rsid w:val="00CA2638"/>
    <w:rsid w:val="00CE7639"/>
    <w:rsid w:val="00D04AA6"/>
    <w:rsid w:val="00D555A3"/>
    <w:rsid w:val="00D578C1"/>
    <w:rsid w:val="00D92125"/>
    <w:rsid w:val="00E06D60"/>
    <w:rsid w:val="00E70CEF"/>
    <w:rsid w:val="00EB2240"/>
    <w:rsid w:val="00EC6CD4"/>
    <w:rsid w:val="00F67E2E"/>
    <w:rsid w:val="00F7453C"/>
    <w:rsid w:val="00FC3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3A020"/>
  <w15:docId w15:val="{95521EC5-4FD0-4540-9C9C-D83B9C64B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kapitzlist">
    <w:name w:val="List Paragraph"/>
    <w:basedOn w:val="Normalny"/>
    <w:pPr>
      <w:suppressAutoHyphens w:val="0"/>
      <w:ind w:left="720"/>
      <w:jc w:val="both"/>
      <w:textAlignment w:val="auto"/>
    </w:pPr>
    <w:rPr>
      <w:rFonts w:ascii="Arial" w:eastAsia="Calibri" w:hAnsi="Arial" w:cs="Arial"/>
      <w:kern w:val="0"/>
      <w:sz w:val="22"/>
      <w:szCs w:val="22"/>
      <w:lang w:eastAsia="pl-PL" w:bidi="ar-SA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Bezodstpw">
    <w:name w:val="No Spacing"/>
    <w:uiPriority w:val="1"/>
    <w:qFormat/>
    <w:rsid w:val="00136015"/>
    <w:pPr>
      <w:suppressAutoHyphens/>
      <w:autoSpaceDN/>
      <w:textAlignment w:val="auto"/>
    </w:pPr>
    <w:rPr>
      <w:rFonts w:ascii="Times New Roman" w:eastAsia="Times New Roman" w:hAnsi="Times New Roman" w:cs="Times New Roman"/>
      <w:color w:val="00000A"/>
      <w:kern w:val="0"/>
      <w:sz w:val="26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9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12980</TotalTime>
  <Pages>2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Sławomir Ciechorski</dc:creator>
  <cp:lastModifiedBy>Paweł Buda</cp:lastModifiedBy>
  <cp:revision>21</cp:revision>
  <cp:lastPrinted>2024-09-12T07:35:00Z</cp:lastPrinted>
  <dcterms:created xsi:type="dcterms:W3CDTF">2022-10-20T17:43:00Z</dcterms:created>
  <dcterms:modified xsi:type="dcterms:W3CDTF">2024-11-14T10:11:00Z</dcterms:modified>
</cp:coreProperties>
</file>