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jc w:val="right"/>
        <w:rPr>
          <w:color w:val="000000" w:themeColor="text1"/>
        </w:rPr>
      </w:pPr>
      <w:r>
        <w:rPr>
          <w:color w:val="000000" w:themeColor="text1"/>
        </w:rPr>
        <w:t xml:space="preserve">Załącznik nr 4 </w:t>
      </w:r>
    </w:p>
    <w:p>
      <w:pPr>
        <w:pStyle w:val="Default"/>
        <w:jc w:val="right"/>
        <w:rPr/>
      </w:pPr>
      <w:r>
        <w:rPr/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</w:rPr>
        <w:t>KARTA GWARANCYJNA</w:t>
      </w:r>
    </w:p>
    <w:p>
      <w:pPr>
        <w:pStyle w:val="Default"/>
        <w:jc w:val="center"/>
        <w:rPr>
          <w:sz w:val="22"/>
          <w:szCs w:val="22"/>
        </w:rPr>
      </w:pPr>
      <w:r>
        <w:rPr/>
        <w:t>wykonanych robót w okresie gwarancji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„</w:t>
      </w:r>
      <w:bookmarkStart w:id="0" w:name="OLE_LINK4"/>
      <w:r>
        <w:rPr>
          <w:rFonts w:eastAsia="Times New Roman" w:cs="Calibri" w:ascii="Calibri" w:hAnsi="Calibri" w:asciiTheme="minorHAnsi" w:cstheme="minorHAnsi" w:hAnsiTheme="minorHAnsi"/>
          <w:b/>
          <w:color w:val="auto"/>
          <w:sz w:val="20"/>
          <w:szCs w:val="20"/>
          <w:lang w:val="pl-PL" w:eastAsia="zh-CN" w:bidi="ar-SA"/>
        </w:rPr>
        <w:t>Dostawa regałów magazynowych do</w:t>
      </w:r>
      <w:bookmarkStart w:id="1" w:name="OLE_LINK41"/>
      <w:r>
        <w:rPr>
          <w:rFonts w:cs="Calibri" w:ascii="Calibri" w:hAnsi="Calibri" w:asciiTheme="minorHAnsi" w:cstheme="minorHAnsi" w:hAnsiTheme="minorHAnsi"/>
          <w:b/>
          <w:sz w:val="20"/>
          <w:szCs w:val="20"/>
        </w:rPr>
        <w:t xml:space="preserve"> Zakładu Karnego w Zamościu</w:t>
      </w:r>
      <w:bookmarkEnd w:id="0"/>
      <w:bookmarkEnd w:id="1"/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”</w:t>
      </w:r>
    </w:p>
    <w:p>
      <w:pPr>
        <w:pStyle w:val="Default"/>
        <w:jc w:val="center"/>
        <w:rPr/>
      </w:pPr>
      <w:r>
        <w:rPr/>
      </w:r>
    </w:p>
    <w:p>
      <w:pPr>
        <w:pStyle w:val="Default"/>
        <w:jc w:val="center"/>
        <w:rPr/>
      </w:pPr>
      <w:r>
        <w:rPr>
          <w:b/>
          <w:bCs/>
        </w:rPr>
        <w:t>§ 1</w:t>
      </w:r>
      <w:r>
        <w:rPr>
          <w:b/>
          <w:bCs/>
          <w:sz w:val="22"/>
          <w:szCs w:val="22"/>
        </w:rPr>
        <w:t>.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</w:rPr>
        <w:t>Przedmiot i termin gwarancji</w:t>
      </w:r>
    </w:p>
    <w:p>
      <w:pPr>
        <w:pStyle w:val="Default"/>
        <w:jc w:val="both"/>
        <w:rPr>
          <w:sz w:val="22"/>
          <w:szCs w:val="22"/>
        </w:rPr>
      </w:pPr>
      <w:r>
        <w:rPr/>
        <w:t xml:space="preserve">1. Gwarant odpowiada wobec Zamawiającego z tytułu niniejszej Karty Gwarancyjnej za cały przedmiot Umowy, w tym także za części realizowane przez podwykonawców. </w:t>
      </w:r>
    </w:p>
    <w:p>
      <w:pPr>
        <w:pStyle w:val="Default"/>
        <w:jc w:val="both"/>
        <w:rPr>
          <w:sz w:val="22"/>
          <w:szCs w:val="22"/>
        </w:rPr>
      </w:pPr>
      <w:r>
        <w:rPr/>
        <w:t xml:space="preserve">2. W okresie gwarancji Wykonawca obowiązany jest do nieodpłatnego usuwania wad ujawnionych po odbiorze końcowym. </w:t>
      </w:r>
    </w:p>
    <w:p>
      <w:pPr>
        <w:pStyle w:val="Default"/>
        <w:jc w:val="both"/>
        <w:rPr/>
      </w:pPr>
      <w:r>
        <w:rPr/>
        <w:t xml:space="preserve">4. Ilekroć w niniejszej Karcie Gwarancyjnej jest mowa o wadzie należy przez to rozumieć wadę fizyczną, o której mowa w art. 556 kodeksu cywilnego </w:t>
      </w:r>
    </w:p>
    <w:p>
      <w:pPr>
        <w:pStyle w:val="Default"/>
        <w:jc w:val="both"/>
        <w:rPr>
          <w:sz w:val="22"/>
          <w:szCs w:val="22"/>
        </w:rPr>
      </w:pPr>
      <w:r>
        <w:rPr/>
        <w:t>5. Okres gwarancji wynosi …………..</w:t>
      </w:r>
      <w:r>
        <w:rPr>
          <w:b/>
          <w:bCs/>
        </w:rPr>
        <w:t>miesiące</w:t>
      </w:r>
      <w:r>
        <w:rPr/>
        <w:t xml:space="preserve"> licząc od dnia podpisania protokołu odbioru końcowego robót. </w:t>
      </w:r>
    </w:p>
    <w:p>
      <w:pPr>
        <w:pStyle w:val="Default"/>
        <w:jc w:val="center"/>
        <w:rPr/>
      </w:pPr>
      <w:r>
        <w:rPr>
          <w:b/>
          <w:bCs/>
        </w:rPr>
        <w:t>§ 2</w:t>
      </w:r>
      <w:r>
        <w:rPr>
          <w:b/>
          <w:bCs/>
          <w:sz w:val="22"/>
          <w:szCs w:val="22"/>
        </w:rPr>
        <w:t>.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</w:rPr>
        <w:t>Obowiązki i uprawnienia stron</w:t>
      </w:r>
    </w:p>
    <w:p>
      <w:pPr>
        <w:pStyle w:val="Default"/>
        <w:jc w:val="both"/>
        <w:rPr>
          <w:sz w:val="22"/>
          <w:szCs w:val="22"/>
        </w:rPr>
      </w:pPr>
      <w:r>
        <w:rPr/>
        <w:t xml:space="preserve">1. W przypadku wystąpienia jakiejkolwiek wady w przedmiocie Umowy Zamawiający jest uprawniony do: </w:t>
      </w:r>
    </w:p>
    <w:p>
      <w:pPr>
        <w:pStyle w:val="Default"/>
        <w:ind w:left="708" w:hanging="0"/>
        <w:jc w:val="both"/>
        <w:rPr>
          <w:sz w:val="22"/>
          <w:szCs w:val="22"/>
        </w:rPr>
      </w:pPr>
      <w:r>
        <w:rPr/>
        <w:t xml:space="preserve">1) żądania usunięcia wady przedmiotu Umowy, a w przypadku gdy dana rzecz wchodząca w zakres przedmiotu Umowy była już dwukrotnie naprawiana – do żądania wymiany tej rzeczy na nową, wolną od wad; </w:t>
      </w:r>
    </w:p>
    <w:p>
      <w:pPr>
        <w:pStyle w:val="Default"/>
        <w:ind w:left="708" w:hanging="0"/>
        <w:jc w:val="both"/>
        <w:rPr>
          <w:sz w:val="22"/>
          <w:szCs w:val="22"/>
        </w:rPr>
      </w:pPr>
      <w:r>
        <w:rPr/>
        <w:t xml:space="preserve">2) wskazania trybu usunięcia wady/wymiany rzeczy na wolną od wad; </w:t>
      </w:r>
    </w:p>
    <w:p>
      <w:pPr>
        <w:pStyle w:val="Default"/>
        <w:ind w:left="708" w:hanging="0"/>
        <w:jc w:val="both"/>
        <w:rPr>
          <w:sz w:val="22"/>
          <w:szCs w:val="22"/>
        </w:rPr>
      </w:pPr>
      <w:r>
        <w:rPr/>
        <w:t xml:space="preserve">3) żądania od Gwaranta kary umownej za nieterminowe usunięcie wad na zasadach określonych umową; </w:t>
      </w:r>
    </w:p>
    <w:p>
      <w:pPr>
        <w:pStyle w:val="Default"/>
        <w:spacing w:before="0" w:after="240"/>
        <w:ind w:left="708" w:hanging="0"/>
        <w:jc w:val="both"/>
        <w:rPr/>
      </w:pPr>
      <w:r>
        <w:rPr/>
        <w:t xml:space="preserve">4) żądania od Gwaranta odszkodowania za nieterminowe usunięcia wad lub wymiany rzeczy na wolną od wad w wysokości przewyższającej kwotę kary umownej, o której mowa w § 7 ust.1 pkt. 2 umowy. </w:t>
      </w:r>
    </w:p>
    <w:p>
      <w:pPr>
        <w:pStyle w:val="Default"/>
        <w:jc w:val="both"/>
        <w:rPr>
          <w:sz w:val="22"/>
          <w:szCs w:val="22"/>
        </w:rPr>
      </w:pPr>
      <w:r>
        <w:rPr/>
        <w:t xml:space="preserve">2. Nie podlegają z tytułu gwarancji wady powstałe na skutek: </w:t>
      </w:r>
    </w:p>
    <w:p>
      <w:pPr>
        <w:pStyle w:val="Default"/>
        <w:ind w:left="708" w:hanging="0"/>
        <w:jc w:val="both"/>
        <w:rPr>
          <w:sz w:val="22"/>
          <w:szCs w:val="22"/>
        </w:rPr>
      </w:pPr>
      <w:r>
        <w:rPr/>
        <w:t xml:space="preserve">1) siły wyższej, pod pojęciem, których strony utrzymują: stan wojny, klęski żywiołowej, strajk generalny, </w:t>
      </w:r>
    </w:p>
    <w:p>
      <w:pPr>
        <w:pStyle w:val="Default"/>
        <w:ind w:left="708" w:hanging="0"/>
        <w:jc w:val="both"/>
        <w:rPr>
          <w:sz w:val="22"/>
          <w:szCs w:val="22"/>
        </w:rPr>
      </w:pPr>
      <w:r>
        <w:rPr/>
        <w:t xml:space="preserve">2) normalnego zużycia budowli lub jego części, </w:t>
      </w:r>
    </w:p>
    <w:p>
      <w:pPr>
        <w:pStyle w:val="Default"/>
        <w:ind w:left="708" w:hanging="0"/>
        <w:jc w:val="both"/>
        <w:rPr>
          <w:sz w:val="22"/>
          <w:szCs w:val="22"/>
        </w:rPr>
      </w:pPr>
      <w:r>
        <w:rPr/>
        <w:t xml:space="preserve">3) szkód wynikłych z winy Zamawiającego (Uprawnionego z tytułu gwarancji). </w:t>
      </w:r>
    </w:p>
    <w:p>
      <w:pPr>
        <w:pStyle w:val="Default"/>
        <w:jc w:val="both"/>
        <w:rPr/>
      </w:pPr>
      <w:r>
        <w:rPr/>
      </w:r>
    </w:p>
    <w:p>
      <w:pPr>
        <w:pStyle w:val="Default"/>
        <w:jc w:val="both"/>
        <w:rPr>
          <w:sz w:val="22"/>
          <w:szCs w:val="22"/>
        </w:rPr>
      </w:pPr>
      <w:r>
        <w:rPr/>
        <w:t xml:space="preserve">3. W celu umożliwienia kwalifikacji zgłoszonych wad, przyczyn ich powstania i sposobu usunięcia Zamawiający zobowiązuje się do przechowywania otrzymanej w dniu odbioru dokumentacji powykonawczej i protokołu końcowego odbioru robót. </w:t>
      </w:r>
    </w:p>
    <w:p>
      <w:pPr>
        <w:pStyle w:val="Default"/>
        <w:jc w:val="both"/>
        <w:rPr>
          <w:b/>
          <w:b/>
          <w:bCs/>
        </w:rPr>
      </w:pPr>
      <w:r>
        <w:rPr/>
        <w:t>4. Wykonawca jest odpowiedzialny za wszelkie szkody i straty, które spowodował w czasie prac nad usuwaniem wad.</w:t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center"/>
        <w:rPr/>
      </w:pPr>
      <w:r>
        <w:rPr>
          <w:b/>
          <w:bCs/>
        </w:rPr>
        <w:t>§ 3</w:t>
      </w:r>
      <w:r>
        <w:rPr>
          <w:b/>
          <w:bCs/>
          <w:sz w:val="22"/>
          <w:szCs w:val="22"/>
        </w:rPr>
        <w:t>.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</w:rPr>
        <w:t>Przeglądy gwarancyjne</w:t>
      </w:r>
    </w:p>
    <w:p>
      <w:pPr>
        <w:pStyle w:val="Default"/>
        <w:spacing w:before="0" w:after="56"/>
        <w:jc w:val="both"/>
        <w:rPr>
          <w:sz w:val="22"/>
          <w:szCs w:val="22"/>
        </w:rPr>
      </w:pPr>
      <w:r>
        <w:rPr/>
        <w:t xml:space="preserve">1. Komisyjne przeglądy gwarancyjne odbywać się będą w połowie okresu gwarancji i na koniec ostatniego miesiąca obowiązywania niniejszej gwarancji. </w:t>
      </w:r>
    </w:p>
    <w:p>
      <w:pPr>
        <w:pStyle w:val="Default"/>
        <w:spacing w:before="0" w:after="56"/>
        <w:jc w:val="both"/>
        <w:rPr>
          <w:sz w:val="22"/>
          <w:szCs w:val="22"/>
        </w:rPr>
      </w:pPr>
      <w:r>
        <w:rPr/>
        <w:t xml:space="preserve">2. Datę, godzinę i miejsce dokonania przeglądu gwarancyjnego wyznacza Zamawiający, zawiadamiając o nim Gwaranta na piśmie z co najmniej 14 dniowym wyprzedzeniem. </w:t>
      </w:r>
    </w:p>
    <w:p>
      <w:pPr>
        <w:pStyle w:val="Default"/>
        <w:jc w:val="both"/>
        <w:rPr>
          <w:sz w:val="22"/>
          <w:szCs w:val="22"/>
        </w:rPr>
      </w:pPr>
      <w:r>
        <w:rPr/>
        <w:t xml:space="preserve">3. W skład komisji przeglądowej będą wchodziły osoby wyznaczone przez Zamawiającego oraz co najmniej 1 osoba wyznaczone przez Gwaranta. </w:t>
      </w:r>
    </w:p>
    <w:p>
      <w:pPr>
        <w:pStyle w:val="Default"/>
        <w:spacing w:before="0" w:after="58"/>
        <w:jc w:val="both"/>
        <w:rPr>
          <w:sz w:val="22"/>
          <w:szCs w:val="22"/>
        </w:rPr>
      </w:pPr>
      <w:r>
        <w:rPr/>
        <w:t xml:space="preserve"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 </w:t>
      </w:r>
    </w:p>
    <w:p>
      <w:pPr>
        <w:pStyle w:val="Default"/>
        <w:jc w:val="both"/>
        <w:rPr>
          <w:sz w:val="22"/>
          <w:szCs w:val="22"/>
        </w:rPr>
      </w:pPr>
      <w:r>
        <w:rPr/>
        <w:t xml:space="preserve"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 </w:t>
      </w:r>
    </w:p>
    <w:p>
      <w:pPr>
        <w:pStyle w:val="Default"/>
        <w:rPr/>
      </w:pPr>
      <w:r>
        <w:rPr/>
      </w:r>
    </w:p>
    <w:p>
      <w:pPr>
        <w:pStyle w:val="Default"/>
        <w:jc w:val="center"/>
        <w:rPr/>
      </w:pPr>
      <w:r>
        <w:rPr>
          <w:b/>
          <w:bCs/>
        </w:rPr>
        <w:t>§ 4</w:t>
      </w:r>
      <w:r>
        <w:rPr>
          <w:b/>
          <w:bCs/>
          <w:sz w:val="22"/>
          <w:szCs w:val="22"/>
        </w:rPr>
        <w:t>.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</w:rPr>
        <w:t>Wezwanie do usunięcia wady i tryby usuwania wad</w:t>
      </w:r>
    </w:p>
    <w:p>
      <w:pPr>
        <w:pStyle w:val="Default"/>
        <w:spacing w:before="0" w:after="58"/>
        <w:jc w:val="both"/>
        <w:rPr>
          <w:sz w:val="22"/>
          <w:szCs w:val="22"/>
        </w:rPr>
      </w:pPr>
      <w:r>
        <w:rPr>
          <w:rFonts w:cs="Arial"/>
        </w:rPr>
        <w:t xml:space="preserve">1. </w:t>
      </w:r>
      <w:r>
        <w:rPr/>
        <w:t xml:space="preserve">W przypadku ujawnienia wady w czasie innym niż podczas przeglądu gwarancyjnego, Zamawiający niezwłocznie, lecz nie później niż w ciągu 7 dni od daty ujawnienia wady, zawiadomi na piśmie Gwaranta o stwierdzonych wadach i usterkach. </w:t>
      </w:r>
    </w:p>
    <w:p>
      <w:pPr>
        <w:pStyle w:val="Default"/>
        <w:spacing w:before="0" w:after="58"/>
        <w:jc w:val="both"/>
        <w:rPr>
          <w:sz w:val="22"/>
          <w:szCs w:val="22"/>
        </w:rPr>
      </w:pPr>
      <w:r>
        <w:rPr>
          <w:rFonts w:cs="Arial"/>
        </w:rPr>
        <w:t xml:space="preserve">2. </w:t>
      </w:r>
      <w:r>
        <w:rPr/>
        <w:t xml:space="preserve">W przypadku stwierdzenia istnienia wady obciążającej Gwaranta, Zamawiający wyznacza Gwarantowi odpowiedni termin na jej usunięcie. Usunięcie wady stwierdza się protokolarnie. </w:t>
      </w:r>
    </w:p>
    <w:p>
      <w:pPr>
        <w:pStyle w:val="Default"/>
        <w:spacing w:before="0" w:after="58"/>
        <w:jc w:val="both"/>
        <w:rPr/>
      </w:pPr>
      <w:r>
        <w:rPr>
          <w:rFonts w:cs="Arial"/>
        </w:rPr>
        <w:t xml:space="preserve">3. </w:t>
      </w:r>
      <w:r>
        <w:rPr/>
        <w:t>W razie nie usunięcia, przez Gwaranta, w wyznaczonym przez Zamawiającego terminie ujawnionych wad wykonanych robót, Zamawiający może zlecić ich usunięcie osobie trzeciej na koszt i ryzyko Gwaranta</w:t>
      </w:r>
      <w:r>
        <w:rPr>
          <w:b/>
          <w:bCs/>
        </w:rPr>
        <w:t xml:space="preserve">. </w:t>
      </w:r>
    </w:p>
    <w:p>
      <w:pPr>
        <w:pStyle w:val="Default"/>
        <w:spacing w:before="0" w:after="58"/>
        <w:jc w:val="both"/>
        <w:rPr>
          <w:sz w:val="22"/>
          <w:szCs w:val="22"/>
        </w:rPr>
      </w:pPr>
      <w:r>
        <w:rPr>
          <w:rFonts w:cs="Arial"/>
        </w:rPr>
        <w:t xml:space="preserve">4. </w:t>
      </w:r>
      <w:r>
        <w:rPr/>
        <w:t xml:space="preserve">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>
      <w:pPr>
        <w:pStyle w:val="Default"/>
        <w:jc w:val="both"/>
        <w:rPr>
          <w:sz w:val="22"/>
          <w:szCs w:val="22"/>
        </w:rPr>
      </w:pPr>
      <w:r>
        <w:rPr>
          <w:rFonts w:cs="Arial"/>
        </w:rPr>
        <w:t xml:space="preserve">5. </w:t>
      </w:r>
      <w:r>
        <w:rPr/>
        <w:t xml:space="preserve">Terminy do wykonania napraw gwarancyjnych lub dostarczenia rzeczy wolnych od wad mogą zostać wydłużone w szczególnie uzasadnionych przypadkach po wyrażeniu pisemnej zgody Zamawiającego. </w:t>
      </w:r>
    </w:p>
    <w:p>
      <w:pPr>
        <w:pStyle w:val="Default"/>
        <w:jc w:val="center"/>
        <w:rPr/>
      </w:pPr>
      <w:r>
        <w:rPr>
          <w:b/>
          <w:bCs/>
        </w:rPr>
        <w:t>§ 5</w:t>
      </w:r>
      <w:r>
        <w:rPr>
          <w:b/>
          <w:bCs/>
          <w:sz w:val="22"/>
          <w:szCs w:val="22"/>
        </w:rPr>
        <w:t>.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</w:rPr>
        <w:t>Komunikacja</w:t>
      </w:r>
    </w:p>
    <w:p>
      <w:pPr>
        <w:pStyle w:val="Default"/>
        <w:spacing w:before="0" w:after="56"/>
        <w:jc w:val="both"/>
        <w:rPr>
          <w:sz w:val="22"/>
          <w:szCs w:val="22"/>
        </w:rPr>
      </w:pPr>
      <w:r>
        <w:rPr/>
        <w:t xml:space="preserve">1. Wszelka komunikacja pomiędzy stronami wymaga zachowania formy pisemnej. </w:t>
      </w:r>
    </w:p>
    <w:p>
      <w:pPr>
        <w:pStyle w:val="Default"/>
        <w:spacing w:before="0" w:after="56"/>
        <w:jc w:val="both"/>
        <w:rPr>
          <w:sz w:val="22"/>
          <w:szCs w:val="22"/>
        </w:rPr>
      </w:pPr>
      <w:r>
        <w:rPr/>
        <w:t xml:space="preserve">2. Wszelkie pisma skierowane do Gwaranta należy wysyłać na adres: </w:t>
      </w:r>
      <w:r>
        <w:rPr>
          <w:b/>
          <w:bCs/>
        </w:rPr>
        <w:t>[adres Wykonawcy</w:t>
      </w:r>
      <w:r>
        <w:rPr/>
        <w:t xml:space="preserve">]. </w:t>
      </w:r>
    </w:p>
    <w:p>
      <w:pPr>
        <w:pStyle w:val="Default"/>
        <w:spacing w:before="0" w:after="56"/>
        <w:jc w:val="both"/>
        <w:rPr>
          <w:b/>
          <w:b/>
        </w:rPr>
      </w:pPr>
      <w:r>
        <w:rPr/>
        <w:t xml:space="preserve">3. Wszelkie pisma skierowane do Zamawiającego należy wysyłać na adres: </w:t>
      </w:r>
      <w:r>
        <w:rPr>
          <w:b/>
        </w:rPr>
        <w:t>Zakład karny w Zamościu</w:t>
      </w:r>
      <w:r>
        <w:rPr>
          <w:b/>
          <w:bCs/>
        </w:rPr>
        <w:t xml:space="preserve">, ul. Okrzei 14 22-400 Zamość. </w:t>
      </w:r>
    </w:p>
    <w:p>
      <w:pPr>
        <w:pStyle w:val="Default"/>
        <w:spacing w:before="0" w:after="56"/>
        <w:jc w:val="both"/>
        <w:rPr/>
      </w:pPr>
      <w:r>
        <w:rPr/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>
      <w:pPr>
        <w:pStyle w:val="Default"/>
        <w:jc w:val="both"/>
        <w:rPr/>
      </w:pPr>
      <w:r>
        <w:rPr/>
        <w:t>5. Gwarant jest obowiązany w terminie 7 dni od daty złożenia wniosku o upadłość lub likwidację powiadomić na piśmie o tym fakcie Zamawiającego.</w:t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center"/>
        <w:rPr/>
      </w:pPr>
      <w:r>
        <w:rPr>
          <w:b/>
          <w:bCs/>
        </w:rPr>
        <w:t>§ 6</w:t>
      </w:r>
      <w:r>
        <w:rPr>
          <w:b/>
          <w:bCs/>
          <w:sz w:val="22"/>
          <w:szCs w:val="22"/>
        </w:rPr>
        <w:t>.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</w:rPr>
        <w:t>Postanowienia końcowe</w:t>
      </w:r>
    </w:p>
    <w:p>
      <w:pPr>
        <w:pStyle w:val="Default"/>
        <w:spacing w:before="0" w:after="56"/>
        <w:jc w:val="both"/>
        <w:rPr/>
      </w:pPr>
      <w:r>
        <w:rPr/>
        <w:t>1. W sprawach nieuregulowanych zastosowanie mają odpowiednie przepisy prawa polskiego, w szczególności Kodeksu cywilnego.</w:t>
      </w:r>
    </w:p>
    <w:p>
      <w:pPr>
        <w:pStyle w:val="Default"/>
        <w:spacing w:before="0" w:after="56"/>
        <w:jc w:val="both"/>
        <w:rPr>
          <w:sz w:val="22"/>
          <w:szCs w:val="22"/>
        </w:rPr>
      </w:pPr>
      <w:r>
        <w:rPr/>
        <w:t xml:space="preserve">2. Wszelkie zmiany niniejszej Karty Gwarancyjnej wymagają formy pisemnej pod rygorem nieważności. </w:t>
      </w:r>
    </w:p>
    <w:p>
      <w:pPr>
        <w:pStyle w:val="Default"/>
        <w:jc w:val="both"/>
        <w:rPr/>
      </w:pPr>
      <w:r>
        <w:rPr/>
        <w:t>3. Niniejszą Kartę Gwarancyjną sporządzono w trzech egzemplarzach na prawach oryginału, dwa egzemplarze dla Zamawiającego , jeden dla Gwaranta.</w:t>
      </w:r>
    </w:p>
    <w:p>
      <w:pPr>
        <w:pStyle w:val="Default"/>
        <w:jc w:val="both"/>
        <w:rPr/>
      </w:pPr>
      <w:r>
        <w:rPr/>
      </w:r>
    </w:p>
    <w:p>
      <w:pPr>
        <w:pStyle w:val="Default"/>
        <w:jc w:val="both"/>
        <w:rPr/>
      </w:pPr>
      <w:r>
        <w:rPr/>
      </w:r>
    </w:p>
    <w:p>
      <w:pPr>
        <w:pStyle w:val="Default"/>
        <w:jc w:val="both"/>
        <w:rPr/>
      </w:pPr>
      <w:r>
        <w:rPr/>
      </w:r>
    </w:p>
    <w:p>
      <w:pPr>
        <w:pStyle w:val="Default"/>
        <w:jc w:val="both"/>
        <w:rPr/>
      </w:pPr>
      <w:r>
        <w:rPr/>
      </w:r>
    </w:p>
    <w:p>
      <w:pPr>
        <w:pStyle w:val="Default"/>
        <w:jc w:val="both"/>
        <w:rPr/>
      </w:pPr>
      <w:r>
        <w:rPr/>
      </w:r>
    </w:p>
    <w:p>
      <w:pPr>
        <w:pStyle w:val="Default"/>
        <w:jc w:val="both"/>
        <w:rPr/>
      </w:pPr>
      <w:r>
        <w:rPr/>
      </w:r>
    </w:p>
    <w:p>
      <w:pPr>
        <w:pStyle w:val="Default"/>
        <w:jc w:val="both"/>
        <w:rPr>
          <w:sz w:val="22"/>
          <w:szCs w:val="22"/>
        </w:rPr>
      </w:pPr>
      <w:r>
        <w:rPr/>
        <w:t xml:space="preserve">Warunki gwarancji podpisali: </w:t>
      </w:r>
    </w:p>
    <w:p>
      <w:pPr>
        <w:pStyle w:val="Default"/>
        <w:rPr/>
      </w:pPr>
      <w:r>
        <w:rPr/>
      </w:r>
    </w:p>
    <w:p>
      <w:pPr>
        <w:pStyle w:val="Default"/>
        <w:rPr>
          <w:sz w:val="22"/>
          <w:szCs w:val="22"/>
        </w:rPr>
      </w:pPr>
      <w:r>
        <w:rPr/>
        <w:t xml:space="preserve">Udzielający gwarancji </w:t>
        <w:tab/>
        <w:tab/>
        <w:tab/>
        <w:tab/>
        <w:tab/>
        <w:tab/>
        <w:t xml:space="preserve">Przyjmujący gwarancję </w:t>
      </w:r>
    </w:p>
    <w:p>
      <w:pPr>
        <w:pStyle w:val="Normal"/>
        <w:rPr/>
      </w:pPr>
      <w:r>
        <w:rPr>
          <w:rFonts w:ascii="Calibri" w:hAnsi="Calibri"/>
          <w:b/>
          <w:bCs/>
          <w:sz w:val="24"/>
        </w:rPr>
        <w:t xml:space="preserve">Przedstawiciel Wykonawcy/Gwarant: </w:t>
        <w:tab/>
        <w:tab/>
        <w:tab/>
        <w:t>Przedstawiciel Zamawiającego: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66f6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ahoma"/>
      <w:color w:val="auto"/>
      <w:kern w:val="0"/>
      <w:sz w:val="20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1"/>
    <w:qFormat/>
    <w:rsid w:val="00766f6c"/>
    <w:rPr>
      <w:rFonts w:ascii="Arial" w:hAnsi="Arial" w:eastAsia="Times New Roman" w:cs="Times New Roman"/>
      <w:b/>
      <w:sz w:val="18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9b1896"/>
    <w:pPr>
      <w:spacing w:lineRule="auto" w:line="276" w:before="0" w:after="140"/>
    </w:pPr>
    <w:rPr/>
  </w:style>
  <w:style w:type="paragraph" w:styleId="Lista">
    <w:name w:val="List"/>
    <w:basedOn w:val="Tretekstu"/>
    <w:rsid w:val="009b1896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9b1896"/>
    <w:pPr>
      <w:suppressLineNumbers/>
    </w:pPr>
    <w:rPr>
      <w:rFonts w:cs="Arial"/>
    </w:rPr>
  </w:style>
  <w:style w:type="paragraph" w:styleId="Nagwek11" w:customStyle="1">
    <w:name w:val="Nagłówek 11"/>
    <w:basedOn w:val="Normal"/>
    <w:next w:val="Normal"/>
    <w:link w:val="Nagwek1Znak"/>
    <w:qFormat/>
    <w:rsid w:val="00766f6c"/>
    <w:pPr>
      <w:keepNext w:val="true"/>
      <w:spacing w:lineRule="auto" w:line="360"/>
      <w:jc w:val="both"/>
      <w:outlineLvl w:val="0"/>
    </w:pPr>
    <w:rPr>
      <w:rFonts w:ascii="Arial" w:hAnsi="Arial" w:cs="Times New Roman"/>
      <w:b/>
      <w:sz w:val="18"/>
      <w:szCs w:val="22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rsid w:val="009b1896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9b1896"/>
    <w:pPr>
      <w:suppressLineNumbers/>
      <w:spacing w:before="120" w:after="120"/>
    </w:pPr>
    <w:rPr>
      <w:rFonts w:cs="Arial"/>
      <w:i/>
      <w:iCs/>
      <w:sz w:val="24"/>
    </w:rPr>
  </w:style>
  <w:style w:type="paragraph" w:styleId="ListParagraph">
    <w:name w:val="List Paragraph"/>
    <w:basedOn w:val="Normal"/>
    <w:qFormat/>
    <w:rsid w:val="00766f6c"/>
    <w:pPr>
      <w:spacing w:lineRule="auto" w:line="276" w:before="0" w:after="200"/>
      <w:ind w:left="720" w:hanging="0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Standard" w:customStyle="1">
    <w:name w:val="Standard"/>
    <w:qFormat/>
    <w:rsid w:val="001c3af3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Default" w:customStyle="1">
    <w:name w:val="Default"/>
    <w:qFormat/>
    <w:rsid w:val="0035470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8" w:customStyle="1">
    <w:name w:val="WW8Num28"/>
    <w:qFormat/>
    <w:rsid w:val="001c3af3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FB301-AA69-4FB8-8A22-859B63CBB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LibreOffice/7.2.2.2$Windows_X86_64 LibreOffice_project/02b2acce88a210515b4a5bb2e46cbfb63fe97d56</Application>
  <AppVersion>15.0000</AppVersion>
  <Pages>3</Pages>
  <Words>742</Words>
  <Characters>4655</Characters>
  <CharactersWithSpaces>5386</CharactersWithSpaces>
  <Paragraphs>52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2021-10-29T06:17:00Z</dcterms:created>
  <dc:creator>Witold Roman</dc:creator>
  <dc:description/>
  <dc:language>pl-PL</dc:language>
  <cp:lastModifiedBy/>
  <cp:lastPrinted>2022-04-21T10:52:00Z</cp:lastPrinted>
  <dcterms:modified xsi:type="dcterms:W3CDTF">2023-10-30T13:39:40Z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