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5E4" w:rsidRPr="006B6BD0" w:rsidRDefault="00DD15E4" w:rsidP="00DD15E4">
      <w:pPr>
        <w:pStyle w:val="Nagwek2"/>
        <w:spacing w:before="0" w:after="0"/>
        <w:rPr>
          <w:rFonts w:cs="Arial"/>
        </w:rPr>
      </w:pPr>
      <w:bookmarkStart w:id="0" w:name="bookmark21"/>
      <w:r w:rsidRPr="006B6BD0">
        <w:rPr>
          <w:rFonts w:cs="Arial"/>
        </w:rPr>
        <w:t xml:space="preserve">Załącznik nr </w:t>
      </w:r>
      <w:r>
        <w:rPr>
          <w:rFonts w:cs="Arial"/>
        </w:rPr>
        <w:t>2</w:t>
      </w:r>
      <w:r w:rsidRPr="006B6BD0">
        <w:rPr>
          <w:rFonts w:cs="Arial"/>
        </w:rPr>
        <w:t xml:space="preserve"> do </w:t>
      </w:r>
      <w:r>
        <w:rPr>
          <w:rFonts w:cs="Arial"/>
        </w:rPr>
        <w:t>Zarządzenia nr 19/2024                z dnia 10</w:t>
      </w:r>
      <w:r w:rsidRPr="006B6BD0">
        <w:rPr>
          <w:rFonts w:cs="Arial"/>
        </w:rPr>
        <w:t>.</w:t>
      </w:r>
      <w:r>
        <w:rPr>
          <w:rFonts w:cs="Arial"/>
        </w:rPr>
        <w:t>05.2024 r.</w:t>
      </w:r>
    </w:p>
    <w:p w:rsidR="00DD15E4" w:rsidRDefault="00DD15E4" w:rsidP="00DD15E4">
      <w:pPr>
        <w:pStyle w:val="Bodytext120"/>
        <w:shd w:val="clear" w:color="auto" w:fill="auto"/>
        <w:tabs>
          <w:tab w:val="left" w:leader="dot" w:pos="10631"/>
        </w:tabs>
        <w:spacing w:line="240" w:lineRule="auto"/>
        <w:jc w:val="center"/>
        <w:rPr>
          <w:i w:val="0"/>
          <w:color w:val="000000" w:themeColor="text1"/>
          <w:sz w:val="22"/>
          <w:szCs w:val="22"/>
        </w:rPr>
      </w:pPr>
    </w:p>
    <w:p w:rsidR="00DD15E4" w:rsidRPr="00DD15E4" w:rsidRDefault="00DD15E4" w:rsidP="00DD15E4">
      <w:pPr>
        <w:pStyle w:val="Bodytext120"/>
        <w:shd w:val="clear" w:color="auto" w:fill="auto"/>
        <w:tabs>
          <w:tab w:val="left" w:leader="dot" w:pos="10631"/>
        </w:tabs>
        <w:spacing w:line="240" w:lineRule="auto"/>
        <w:jc w:val="center"/>
        <w:rPr>
          <w:i w:val="0"/>
          <w:color w:val="000000" w:themeColor="text1"/>
          <w:sz w:val="22"/>
          <w:szCs w:val="22"/>
          <w:shd w:val="clear" w:color="auto" w:fill="FFFFFF"/>
        </w:rPr>
      </w:pPr>
      <w:r w:rsidRPr="00DD15E4">
        <w:rPr>
          <w:i w:val="0"/>
          <w:color w:val="000000" w:themeColor="text1"/>
          <w:sz w:val="22"/>
          <w:szCs w:val="22"/>
        </w:rPr>
        <w:t>ZAPROSZENIE DO</w:t>
      </w:r>
      <w:r w:rsidRPr="00DD15E4">
        <w:rPr>
          <w:bCs w:val="0"/>
          <w:i w:val="0"/>
          <w:color w:val="000000" w:themeColor="text1"/>
          <w:sz w:val="22"/>
          <w:szCs w:val="22"/>
        </w:rPr>
        <w:t xml:space="preserve"> </w:t>
      </w:r>
      <w:r w:rsidRPr="00DD15E4">
        <w:rPr>
          <w:rStyle w:val="Heading929pt"/>
          <w:b/>
          <w:i w:val="0"/>
          <w:color w:val="000000" w:themeColor="text1"/>
          <w:sz w:val="22"/>
          <w:szCs w:val="22"/>
        </w:rPr>
        <w:t>ZŁOŻENIA OFERTY</w:t>
      </w:r>
      <w:bookmarkEnd w:id="0"/>
    </w:p>
    <w:p w:rsidR="00DD15E4" w:rsidRDefault="00DD15E4" w:rsidP="00DD15E4">
      <w:pPr>
        <w:autoSpaceDE w:val="0"/>
        <w:spacing w:after="12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DD15E4" w:rsidRPr="006B6BD0" w:rsidRDefault="00DD15E4" w:rsidP="00DD15E4">
      <w:pPr>
        <w:autoSpaceDE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6BD0">
        <w:rPr>
          <w:rFonts w:ascii="Arial" w:hAnsi="Arial" w:cs="Arial"/>
          <w:b/>
          <w:color w:val="000000" w:themeColor="text1"/>
          <w:sz w:val="22"/>
          <w:szCs w:val="22"/>
        </w:rPr>
        <w:t>Zamawiający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r w:rsidRPr="00532E6F">
        <w:rPr>
          <w:rFonts w:ascii="Arial" w:hAnsi="Arial" w:cs="Arial"/>
          <w:b/>
          <w:color w:val="000000" w:themeColor="text1"/>
          <w:sz w:val="22"/>
          <w:szCs w:val="22"/>
        </w:rPr>
        <w:t>Kliniczny Szpital Wojewódzki nr 2 im. św. Jadwigi Królowej w Rzeszowie</w:t>
      </w:r>
    </w:p>
    <w:p w:rsidR="00DD15E4" w:rsidRPr="006B6BD0" w:rsidRDefault="00DD15E4" w:rsidP="00DD15E4">
      <w:pPr>
        <w:widowControl w:val="0"/>
        <w:shd w:val="clear" w:color="auto" w:fill="FFFFFF"/>
        <w:tabs>
          <w:tab w:val="left" w:pos="29"/>
          <w:tab w:val="left" w:leader="dot" w:pos="9029"/>
        </w:tabs>
        <w:autoSpaceDE w:val="0"/>
        <w:autoSpaceDN w:val="0"/>
        <w:adjustRightInd w:val="0"/>
        <w:spacing w:after="360"/>
        <w:ind w:left="29"/>
        <w:rPr>
          <w:rFonts w:ascii="Arial" w:hAnsi="Arial" w:cs="Arial"/>
          <w:color w:val="000000" w:themeColor="text1"/>
          <w:sz w:val="22"/>
          <w:szCs w:val="22"/>
        </w:rPr>
      </w:pPr>
      <w:r w:rsidRPr="006B6BD0">
        <w:rPr>
          <w:rFonts w:ascii="Arial" w:hAnsi="Arial" w:cs="Arial"/>
          <w:color w:val="000000" w:themeColor="text1"/>
          <w:sz w:val="22"/>
          <w:szCs w:val="22"/>
        </w:rPr>
        <w:t>zaprasza do złożenia ofert na: .</w:t>
      </w:r>
      <w:r w:rsidRPr="008C701E">
        <w:rPr>
          <w:rFonts w:ascii="Arial" w:hAnsi="Arial" w:cs="Arial"/>
          <w:color w:val="000000" w:themeColor="text1"/>
          <w:sz w:val="22"/>
          <w:szCs w:val="22"/>
        </w:rPr>
        <w:t xml:space="preserve"> Zakup dodatkowych dysków do macierzy dyskowej</w:t>
      </w:r>
      <w:r w:rsidRPr="006B6BD0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DD15E4" w:rsidRPr="006B6BD0" w:rsidRDefault="00DD15E4" w:rsidP="00DD15E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 w:rsidRPr="006B6BD0">
        <w:rPr>
          <w:rFonts w:ascii="Arial" w:hAnsi="Arial" w:cs="Arial"/>
          <w:color w:val="000000" w:themeColor="text1"/>
          <w:sz w:val="22"/>
          <w:szCs w:val="22"/>
        </w:rPr>
        <w:t>Przedmiot zamówienia:</w:t>
      </w:r>
    </w:p>
    <w:p w:rsidR="00DD15E4" w:rsidRPr="008C701E" w:rsidRDefault="00DD15E4" w:rsidP="00DD15E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ind w:left="39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701E">
        <w:rPr>
          <w:rFonts w:ascii="Arial" w:hAnsi="Arial" w:cs="Arial"/>
          <w:color w:val="000000" w:themeColor="text1"/>
          <w:sz w:val="22"/>
          <w:szCs w:val="22"/>
        </w:rPr>
        <w:t xml:space="preserve">Rozbudowa macierzy o dyski  SSD 3,84TB   szt. 4 </w:t>
      </w:r>
    </w:p>
    <w:p w:rsidR="00DD15E4" w:rsidRPr="008C701E" w:rsidRDefault="00DD15E4" w:rsidP="00DD15E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ind w:left="39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701E">
        <w:rPr>
          <w:rFonts w:ascii="Arial" w:hAnsi="Arial" w:cs="Arial"/>
          <w:color w:val="000000" w:themeColor="text1"/>
          <w:sz w:val="22"/>
          <w:szCs w:val="22"/>
        </w:rPr>
        <w:t xml:space="preserve">Rozbudowa posiadanej macierzy ET DX200S5 o numerze  identyfikacyjnym  4602320324 do zweryfikowania poprzez </w:t>
      </w:r>
    </w:p>
    <w:p w:rsidR="00DD15E4" w:rsidRPr="008C701E" w:rsidRDefault="00DD15E4" w:rsidP="00DD15E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ind w:left="39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701E">
        <w:rPr>
          <w:rFonts w:ascii="Arial" w:hAnsi="Arial" w:cs="Arial"/>
          <w:color w:val="000000" w:themeColor="text1"/>
          <w:sz w:val="22"/>
          <w:szCs w:val="22"/>
        </w:rPr>
        <w:t>https://support.ts.fujitsu.com/IndexWarranty.asp?lng=PL o dodatkowe dyski.</w:t>
      </w:r>
    </w:p>
    <w:p w:rsidR="00DD15E4" w:rsidRPr="008C701E" w:rsidRDefault="00DD15E4" w:rsidP="00DD15E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ind w:left="39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701E">
        <w:rPr>
          <w:rFonts w:ascii="Arial" w:hAnsi="Arial" w:cs="Arial"/>
          <w:color w:val="000000" w:themeColor="text1"/>
          <w:sz w:val="22"/>
          <w:szCs w:val="22"/>
        </w:rPr>
        <w:t>Parametr Wymagania minimalne:</w:t>
      </w:r>
    </w:p>
    <w:p w:rsidR="00DD15E4" w:rsidRPr="008C701E" w:rsidRDefault="00DD15E4" w:rsidP="00DD15E4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ind w:left="39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C701E">
        <w:rPr>
          <w:rFonts w:ascii="Arial" w:hAnsi="Arial" w:cs="Arial"/>
          <w:color w:val="000000" w:themeColor="text1"/>
          <w:sz w:val="22"/>
          <w:szCs w:val="22"/>
        </w:rPr>
        <w:t>Dyski 4 szt. dysków SSD 3,84TB dyski kompatybilne z posiadaną przez Zamawiającego macierzą. Dyski muszą być objęte gwarancją posiadanej macierzy.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C701E">
        <w:rPr>
          <w:rFonts w:ascii="Arial" w:hAnsi="Arial" w:cs="Arial"/>
          <w:color w:val="000000" w:themeColor="text1"/>
          <w:sz w:val="22"/>
          <w:szCs w:val="22"/>
        </w:rPr>
        <w:t>Producent oferowanego urządzenia musi posiadać dedykowaną, ogólnie dostępną stronę internetową, gdzie po wpisaniu numeru seryjnego urządzenia można zweryfikować co najmniej: czas i poziom oferowanego serwisu gwarancyjnego producenta zarówno dla macierzy jak i dowolnej z półek dyskowych, datę zakończenia wsparcia gwarancyjnego, datę zakończenia wsparcia producenta dla oferowanego urządzenia.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C701E">
        <w:rPr>
          <w:rFonts w:ascii="Arial" w:hAnsi="Arial" w:cs="Arial"/>
          <w:color w:val="000000" w:themeColor="text1"/>
          <w:sz w:val="22"/>
          <w:szCs w:val="22"/>
        </w:rPr>
        <w:t xml:space="preserve">Dostarczone dyski należy zainstalować oraz podłączyć do macierzy i skonfigurować. Montaż i konfigurację należy wykonać według wymagań i po uzgodnieniu z Zamawiającym (miejsce instalacji, okno czasowe do podłączenia i konfiguracji). Konfiguracja ma objąć utworzenie odpowiednich grup RAID, wykreowanie i publikację zasobów dyskowych. Szczegóły konfiguracji zostaną ustalone z Zamawiającym </w:t>
      </w:r>
      <w:r>
        <w:rPr>
          <w:rFonts w:ascii="Arial" w:hAnsi="Arial" w:cs="Arial"/>
          <w:color w:val="000000" w:themeColor="text1"/>
          <w:sz w:val="22"/>
          <w:szCs w:val="22"/>
        </w:rPr>
        <w:t>Produkt musi być nowy</w:t>
      </w:r>
    </w:p>
    <w:p w:rsidR="00DD15E4" w:rsidRPr="006B6BD0" w:rsidRDefault="00DD15E4" w:rsidP="00DD15E4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6BD0">
        <w:rPr>
          <w:rFonts w:ascii="Arial" w:hAnsi="Arial" w:cs="Arial"/>
          <w:color w:val="000000" w:themeColor="text1"/>
          <w:sz w:val="22"/>
          <w:szCs w:val="22"/>
        </w:rPr>
        <w:t>Warunki realizacji zamówienia,(</w:t>
      </w:r>
      <w:r w:rsidRPr="006B6BD0">
        <w:rPr>
          <w:rFonts w:ascii="Arial" w:hAnsi="Arial" w:cs="Arial"/>
          <w:i/>
          <w:color w:val="000000" w:themeColor="text1"/>
          <w:sz w:val="22"/>
          <w:szCs w:val="22"/>
        </w:rPr>
        <w:t>warunki płatności, termin dostawy, termin gwarancji</w:t>
      </w:r>
      <w:r w:rsidRPr="006B6BD0">
        <w:rPr>
          <w:rFonts w:ascii="Arial" w:hAnsi="Arial" w:cs="Arial"/>
          <w:color w:val="000000" w:themeColor="text1"/>
          <w:sz w:val="22"/>
          <w:szCs w:val="22"/>
        </w:rPr>
        <w:t>)</w:t>
      </w:r>
    </w:p>
    <w:p w:rsidR="00DD15E4" w:rsidRPr="00F16681" w:rsidRDefault="00DD15E4" w:rsidP="00DD15E4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spacing w:line="276" w:lineRule="auto"/>
        <w:ind w:left="3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Termin </w:t>
      </w:r>
      <w:bookmarkStart w:id="1" w:name="_GoBack"/>
      <w:bookmarkEnd w:id="1"/>
      <w:r w:rsidRPr="00F16681">
        <w:rPr>
          <w:rFonts w:ascii="Arial" w:hAnsi="Arial" w:cs="Arial"/>
          <w:color w:val="000000" w:themeColor="text1"/>
          <w:sz w:val="22"/>
          <w:szCs w:val="22"/>
        </w:rPr>
        <w:t xml:space="preserve">dostawy do </w:t>
      </w:r>
      <w:r w:rsidRPr="00F16681">
        <w:rPr>
          <w:rFonts w:ascii="Arial" w:hAnsi="Arial" w:cs="Arial"/>
          <w:b/>
          <w:color w:val="000000" w:themeColor="text1"/>
          <w:sz w:val="22"/>
          <w:szCs w:val="22"/>
        </w:rPr>
        <w:t>31.12.2025</w:t>
      </w:r>
      <w:r w:rsidRPr="00F1668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F16681">
        <w:rPr>
          <w:rFonts w:ascii="Arial" w:hAnsi="Arial" w:cs="Arial"/>
          <w:b/>
          <w:sz w:val="22"/>
          <w:szCs w:val="22"/>
        </w:rPr>
        <w:t>Płatność</w:t>
      </w:r>
      <w:r w:rsidRPr="00F16681">
        <w:rPr>
          <w:rFonts w:ascii="Arial" w:hAnsi="Arial" w:cs="Arial"/>
          <w:sz w:val="22"/>
          <w:szCs w:val="22"/>
        </w:rPr>
        <w:t xml:space="preserve"> z tytułu wykonania przedmiotu dostawy nastąpi przelewem </w:t>
      </w:r>
      <w:r w:rsidRPr="00F16681">
        <w:rPr>
          <w:rFonts w:ascii="Arial" w:hAnsi="Arial" w:cs="Arial"/>
          <w:b/>
          <w:sz w:val="22"/>
          <w:szCs w:val="22"/>
        </w:rPr>
        <w:t>w terminie 30 dni licząc od dnia dostarczenia faktury</w:t>
      </w:r>
      <w:r w:rsidRPr="00F16681">
        <w:rPr>
          <w:rFonts w:ascii="Arial" w:hAnsi="Arial" w:cs="Arial"/>
          <w:sz w:val="22"/>
          <w:szCs w:val="22"/>
        </w:rPr>
        <w:t xml:space="preserve"> na rachunek bankowy wskazane przez Wykonawcę na fakturze</w:t>
      </w:r>
    </w:p>
    <w:p w:rsidR="00DD15E4" w:rsidRPr="006B6BD0" w:rsidRDefault="00DD15E4" w:rsidP="00DD15E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B6BD0">
        <w:rPr>
          <w:rFonts w:ascii="Arial" w:hAnsi="Arial" w:cs="Arial"/>
          <w:color w:val="000000" w:themeColor="text1"/>
          <w:sz w:val="22"/>
          <w:szCs w:val="22"/>
        </w:rPr>
        <w:t xml:space="preserve">Kryteria brane pod uwagę przy ocenie ofert: </w:t>
      </w:r>
      <w:r w:rsidRPr="006B6BD0">
        <w:rPr>
          <w:rFonts w:ascii="Arial" w:hAnsi="Arial" w:cs="Arial"/>
          <w:i/>
          <w:color w:val="000000" w:themeColor="text1"/>
          <w:sz w:val="22"/>
          <w:szCs w:val="22"/>
        </w:rPr>
        <w:t>(cena, dostawy)</w:t>
      </w:r>
    </w:p>
    <w:p w:rsidR="00DD15E4" w:rsidRPr="00F16681" w:rsidRDefault="00DD15E4" w:rsidP="00DD15E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120"/>
        <w:ind w:left="39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16681">
        <w:rPr>
          <w:rFonts w:ascii="Arial" w:hAnsi="Arial" w:cs="Arial"/>
          <w:b/>
          <w:color w:val="000000" w:themeColor="text1"/>
          <w:sz w:val="22"/>
          <w:szCs w:val="22"/>
        </w:rPr>
        <w:t>Cena</w:t>
      </w:r>
      <w:r>
        <w:rPr>
          <w:rFonts w:ascii="Arial" w:hAnsi="Arial" w:cs="Arial"/>
          <w:b/>
          <w:color w:val="000000" w:themeColor="text1"/>
          <w:sz w:val="22"/>
          <w:szCs w:val="22"/>
        </w:rPr>
        <w:t>, dostawa dysków do 31.12.2025</w:t>
      </w:r>
    </w:p>
    <w:p w:rsidR="00DD15E4" w:rsidRDefault="00DD15E4" w:rsidP="00DD15E4">
      <w:pPr>
        <w:pStyle w:val="Akapitzlist"/>
        <w:numPr>
          <w:ilvl w:val="0"/>
          <w:numId w:val="1"/>
        </w:numPr>
        <w:spacing w:before="240"/>
        <w:ind w:left="391" w:hanging="357"/>
        <w:jc w:val="both"/>
        <w:rPr>
          <w:rFonts w:ascii="Arial" w:hAnsi="Arial" w:cs="Arial"/>
          <w:b/>
          <w:sz w:val="22"/>
          <w:szCs w:val="22"/>
        </w:rPr>
      </w:pPr>
      <w:r w:rsidRPr="000B05B0">
        <w:rPr>
          <w:rFonts w:ascii="Arial" w:hAnsi="Arial" w:cs="Arial"/>
          <w:sz w:val="22"/>
          <w:szCs w:val="22"/>
        </w:rPr>
        <w:t xml:space="preserve">Ofertę należy złożyć za pośrednictwem systemu pod adresem: </w:t>
      </w:r>
      <w:r w:rsidRPr="004D7C02">
        <w:rPr>
          <w:rStyle w:val="Hipercze"/>
          <w:rFonts w:ascii="Arial" w:hAnsi="Arial" w:cs="Arial"/>
          <w:color w:val="7030A0"/>
          <w:sz w:val="22"/>
          <w:szCs w:val="22"/>
        </w:rPr>
        <w:t>https://portal.smartpzp.pl/pcm</w:t>
      </w:r>
      <w:r w:rsidRPr="004D7C02">
        <w:rPr>
          <w:rFonts w:ascii="Arial" w:hAnsi="Arial" w:cs="Arial"/>
          <w:color w:val="7030A0"/>
          <w:sz w:val="22"/>
          <w:szCs w:val="22"/>
          <w:u w:val="single"/>
        </w:rPr>
        <w:t>rzeszow</w:t>
      </w:r>
      <w:r w:rsidRPr="004D7C02">
        <w:rPr>
          <w:rFonts w:ascii="Arial" w:hAnsi="Arial" w:cs="Arial"/>
          <w:color w:val="7030A0"/>
          <w:sz w:val="22"/>
          <w:szCs w:val="22"/>
        </w:rPr>
        <w:t xml:space="preserve">  </w:t>
      </w:r>
      <w:r w:rsidRPr="000B05B0">
        <w:rPr>
          <w:rFonts w:ascii="Arial" w:hAnsi="Arial" w:cs="Arial"/>
          <w:sz w:val="22"/>
          <w:szCs w:val="22"/>
        </w:rPr>
        <w:t>do dnia</w:t>
      </w:r>
      <w:r w:rsidRPr="000B05B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22.12.2025</w:t>
      </w:r>
      <w:r w:rsidRPr="000B05B0">
        <w:rPr>
          <w:rFonts w:ascii="Arial" w:hAnsi="Arial" w:cs="Arial"/>
          <w:b/>
          <w:sz w:val="22"/>
          <w:szCs w:val="22"/>
        </w:rPr>
        <w:t xml:space="preserve"> r. do godziny </w:t>
      </w:r>
      <w:r>
        <w:rPr>
          <w:rFonts w:ascii="Arial" w:hAnsi="Arial" w:cs="Arial"/>
          <w:b/>
          <w:sz w:val="22"/>
          <w:szCs w:val="22"/>
        </w:rPr>
        <w:t>9:00</w:t>
      </w:r>
    </w:p>
    <w:p w:rsidR="00DD15E4" w:rsidRPr="00DD15E4" w:rsidRDefault="00DD15E4" w:rsidP="00DD15E4">
      <w:pPr>
        <w:pStyle w:val="Akapitzlist"/>
        <w:numPr>
          <w:ilvl w:val="0"/>
          <w:numId w:val="1"/>
        </w:numPr>
        <w:spacing w:before="240"/>
        <w:ind w:left="391" w:hanging="357"/>
        <w:jc w:val="both"/>
        <w:rPr>
          <w:rFonts w:ascii="Arial" w:hAnsi="Arial" w:cs="Arial"/>
          <w:b/>
          <w:sz w:val="22"/>
          <w:szCs w:val="22"/>
        </w:rPr>
      </w:pPr>
      <w:r w:rsidRPr="00DD15E4">
        <w:rPr>
          <w:rFonts w:ascii="Arial" w:hAnsi="Arial" w:cs="Arial"/>
          <w:sz w:val="22"/>
          <w:szCs w:val="22"/>
        </w:rPr>
        <w:t>Otwarcie ofert nastąpi w dniu</w:t>
      </w:r>
      <w:r w:rsidRPr="00DD15E4">
        <w:rPr>
          <w:rFonts w:ascii="Arial" w:hAnsi="Arial" w:cs="Arial"/>
          <w:b/>
          <w:sz w:val="22"/>
          <w:szCs w:val="22"/>
        </w:rPr>
        <w:t xml:space="preserve"> 22.12.2025 r. o godzinie 9:05 </w:t>
      </w:r>
      <w:r w:rsidRPr="00DD15E4">
        <w:rPr>
          <w:rFonts w:ascii="Arial" w:hAnsi="Arial" w:cs="Arial"/>
          <w:sz w:val="22"/>
          <w:szCs w:val="22"/>
        </w:rPr>
        <w:t xml:space="preserve"> za pośrednictwem Systemu. </w:t>
      </w:r>
    </w:p>
    <w:p w:rsidR="00DD15E4" w:rsidRPr="00F16681" w:rsidRDefault="00DD15E4" w:rsidP="00DD15E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16681">
        <w:rPr>
          <w:rFonts w:ascii="Arial" w:hAnsi="Arial" w:cs="Arial"/>
          <w:color w:val="000000" w:themeColor="text1"/>
          <w:spacing w:val="-3"/>
          <w:sz w:val="22"/>
          <w:szCs w:val="22"/>
        </w:rPr>
        <w:t>Osoba upoważniona do kontaktu z wykonawcami</w:t>
      </w:r>
      <w:r w:rsidRPr="00F16681">
        <w:rPr>
          <w:rFonts w:ascii="Arial" w:hAnsi="Arial" w:cs="Arial"/>
          <w:color w:val="000000" w:themeColor="text1"/>
          <w:sz w:val="22"/>
          <w:szCs w:val="22"/>
        </w:rPr>
        <w:t xml:space="preserve"> Aleksander Matusz</w:t>
      </w:r>
    </w:p>
    <w:p w:rsidR="00DD15E4" w:rsidRPr="00F16681" w:rsidRDefault="00DD15E4" w:rsidP="00DD15E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16681">
        <w:rPr>
          <w:rFonts w:ascii="Arial" w:hAnsi="Arial" w:cs="Arial"/>
          <w:sz w:val="22"/>
          <w:szCs w:val="22"/>
        </w:rPr>
        <w:t>Sposób przygotowania oferty: (ofertę należy sporządzić w formie elektronicznej)</w:t>
      </w:r>
    </w:p>
    <w:p w:rsidR="00DD15E4" w:rsidRPr="00F16681" w:rsidRDefault="00DD15E4" w:rsidP="00DD15E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16681">
        <w:rPr>
          <w:rFonts w:ascii="Arial" w:hAnsi="Arial" w:cs="Arial"/>
          <w:sz w:val="22"/>
          <w:szCs w:val="22"/>
        </w:rPr>
        <w:t>Będą rozpatrywane tylko te oferty, które spełniają wymagania określone powyżej.</w:t>
      </w:r>
    </w:p>
    <w:p w:rsidR="00DD15E4" w:rsidRPr="00F16681" w:rsidRDefault="00DD15E4" w:rsidP="00DD15E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16681">
        <w:rPr>
          <w:rFonts w:ascii="Arial" w:hAnsi="Arial" w:cs="Arial"/>
          <w:sz w:val="22"/>
          <w:szCs w:val="22"/>
        </w:rPr>
        <w:t>W przypadku wyboru przez Zamawiającego oferty najkorzystniejszej Zamawiający powiadomi oferenta stosownym zamówieniem.</w:t>
      </w:r>
    </w:p>
    <w:p w:rsidR="00DD15E4" w:rsidRPr="00F16681" w:rsidRDefault="00DD15E4" w:rsidP="00DD15E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16681">
        <w:rPr>
          <w:rFonts w:ascii="Arial" w:hAnsi="Arial" w:cs="Arial"/>
          <w:sz w:val="22"/>
          <w:szCs w:val="22"/>
        </w:rPr>
        <w:t>Wykonawca składając ofertę do powyższego zapytania akceptuje zawarte w nim warunki</w:t>
      </w:r>
    </w:p>
    <w:p w:rsidR="00DD15E4" w:rsidRDefault="00DD15E4" w:rsidP="00DD15E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394"/>
        <w:jc w:val="right"/>
        <w:rPr>
          <w:rFonts w:ascii="Arial" w:hAnsi="Arial" w:cs="Arial"/>
          <w:b/>
          <w:i/>
          <w:color w:val="000000" w:themeColor="text1"/>
          <w:sz w:val="22"/>
          <w:szCs w:val="22"/>
        </w:rPr>
      </w:pPr>
    </w:p>
    <w:p w:rsidR="00DD15E4" w:rsidRPr="006B6BD0" w:rsidRDefault="00DD15E4" w:rsidP="00DD15E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ind w:left="394"/>
        <w:jc w:val="right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6B6BD0">
        <w:rPr>
          <w:rFonts w:ascii="Arial" w:hAnsi="Arial" w:cs="Arial"/>
          <w:b/>
          <w:i/>
          <w:color w:val="000000" w:themeColor="text1"/>
          <w:sz w:val="22"/>
          <w:szCs w:val="22"/>
        </w:rPr>
        <w:t>…………………………………………</w:t>
      </w:r>
    </w:p>
    <w:p w:rsidR="00DD15E4" w:rsidRPr="006B6BD0" w:rsidRDefault="00DD15E4" w:rsidP="00DD15E4">
      <w:pPr>
        <w:ind w:left="5664" w:firstLine="290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 w:rsidRPr="006B6BD0">
        <w:rPr>
          <w:rFonts w:ascii="Arial" w:hAnsi="Arial" w:cs="Arial"/>
          <w:i/>
          <w:color w:val="000000" w:themeColor="text1"/>
          <w:sz w:val="22"/>
          <w:szCs w:val="22"/>
        </w:rPr>
        <w:t>Podpis osoby upoważnionej</w:t>
      </w:r>
    </w:p>
    <w:p w:rsidR="009A13B2" w:rsidRDefault="00DD15E4"/>
    <w:sectPr w:rsidR="009A1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FB36DA"/>
    <w:multiLevelType w:val="hybridMultilevel"/>
    <w:tmpl w:val="37EE33F2"/>
    <w:lvl w:ilvl="0" w:tplc="24043B0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F05"/>
    <w:rsid w:val="00A8329D"/>
    <w:rsid w:val="00AB4722"/>
    <w:rsid w:val="00B81F05"/>
    <w:rsid w:val="00DD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E029746-C0C7-40B8-87F5-3161C645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15E4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15E4"/>
    <w:pPr>
      <w:keepNext/>
      <w:keepLines/>
      <w:spacing w:before="240" w:after="240"/>
      <w:jc w:val="center"/>
      <w:outlineLvl w:val="1"/>
    </w:pPr>
    <w:rPr>
      <w:rFonts w:ascii="Arial" w:eastAsiaTheme="majorEastAsia" w:hAnsi="Arial" w:cstheme="majorBidi"/>
      <w:b/>
      <w:bCs/>
      <w:color w:val="auto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D15E4"/>
    <w:rPr>
      <w:rFonts w:ascii="Arial" w:eastAsiaTheme="majorEastAsia" w:hAnsi="Arial" w:cstheme="majorBidi"/>
      <w:b/>
      <w:bCs/>
      <w:sz w:val="24"/>
      <w:szCs w:val="26"/>
      <w:lang w:eastAsia="pl-PL"/>
    </w:rPr>
  </w:style>
  <w:style w:type="character" w:customStyle="1" w:styleId="Bodytext12">
    <w:name w:val="Body text (12)_"/>
    <w:basedOn w:val="Domylnaczcionkaakapitu"/>
    <w:link w:val="Bodytext120"/>
    <w:uiPriority w:val="99"/>
    <w:rsid w:val="00DD15E4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DD15E4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sz w:val="15"/>
      <w:szCs w:val="15"/>
      <w:lang w:eastAsia="en-US"/>
    </w:rPr>
  </w:style>
  <w:style w:type="character" w:customStyle="1" w:styleId="Heading929pt">
    <w:name w:val="Heading #9 (2) + 9 pt"/>
    <w:basedOn w:val="Domylnaczcionkaakapitu"/>
    <w:uiPriority w:val="99"/>
    <w:rsid w:val="00DD15E4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kapitzlist">
    <w:name w:val="List Paragraph"/>
    <w:aliases w:val="CW_Lista,Akapit z listą BS,Obiekt,List Paragraph1,Akapit z listą 1,BulletC,Wypunktowanie,2 heading,A_wyliczenie,K-P_odwolanie,maz_wyliczenie,opis dzialania,lp1,CP-UC"/>
    <w:basedOn w:val="Normalny"/>
    <w:uiPriority w:val="34"/>
    <w:qFormat/>
    <w:rsid w:val="00DD15E4"/>
    <w:pPr>
      <w:ind w:left="720"/>
      <w:contextualSpacing/>
    </w:pPr>
  </w:style>
  <w:style w:type="character" w:styleId="Hipercze">
    <w:name w:val="Hyperlink"/>
    <w:rsid w:val="00DD15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369</Words>
  <Characters>2217</Characters>
  <Application>Microsoft Office Word</Application>
  <DocSecurity>0</DocSecurity>
  <Lines>18</Lines>
  <Paragraphs>5</Paragraphs>
  <ScaleCrop>false</ScaleCrop>
  <Company>Kliniczny Szpital Wojewódzki nr 2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Pieczonka - Sekcja Informatyki</dc:creator>
  <cp:keywords/>
  <dc:description/>
  <cp:lastModifiedBy>Krzysztof Pieczonka - Sekcja Informatyki</cp:lastModifiedBy>
  <cp:revision>2</cp:revision>
  <dcterms:created xsi:type="dcterms:W3CDTF">2025-12-18T10:58:00Z</dcterms:created>
  <dcterms:modified xsi:type="dcterms:W3CDTF">2025-12-18T11:00:00Z</dcterms:modified>
</cp:coreProperties>
</file>