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05803" w14:textId="24FE6100" w:rsidR="00810A16" w:rsidRPr="002F7C07" w:rsidRDefault="00810A16" w:rsidP="00815D71">
      <w:pPr>
        <w:spacing w:before="120" w:after="0" w:line="240" w:lineRule="auto"/>
        <w:contextualSpacing/>
        <w:jc w:val="both"/>
        <w:rPr>
          <w:rFonts w:ascii="Century Gothic" w:eastAsia="Times New Roman" w:hAnsi="Century Gothic" w:cs="Times New Roman"/>
          <w:sz w:val="24"/>
          <w:szCs w:val="24"/>
          <w:lang w:eastAsia="pl-PL"/>
        </w:rPr>
      </w:pPr>
      <w:r w:rsidRPr="002F7C0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>Zał. nr</w:t>
      </w:r>
      <w:r w:rsidR="00D45004" w:rsidRPr="002F7C0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 xml:space="preserve"> </w:t>
      </w:r>
      <w:r w:rsidR="000F1D06" w:rsidRPr="002F7C0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>1.</w:t>
      </w:r>
      <w:r w:rsidR="009301C6" w:rsidRPr="002F7C0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>4</w:t>
      </w:r>
      <w:r w:rsidR="00A061C4" w:rsidRPr="002F7C0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>do OPZ</w:t>
      </w:r>
    </w:p>
    <w:p w14:paraId="61548B33" w14:textId="77777777" w:rsidR="00A061C4" w:rsidRPr="002F7C07" w:rsidRDefault="00A061C4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75AD38B6" w14:textId="393C8203" w:rsidR="0089631E" w:rsidRPr="002F7C07" w:rsidRDefault="0089631E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sz w:val="28"/>
          <w:szCs w:val="28"/>
          <w:lang w:eastAsia="pl-PL"/>
        </w:rPr>
      </w:pPr>
      <w:r w:rsidRPr="002F7C07">
        <w:rPr>
          <w:rFonts w:ascii="Century Gothic" w:eastAsia="Times New Roman" w:hAnsi="Century Gothic" w:cs="Times New Roman"/>
          <w:sz w:val="28"/>
          <w:szCs w:val="28"/>
          <w:lang w:eastAsia="pl-PL"/>
        </w:rPr>
        <w:t xml:space="preserve">Wymagania Zamawiającego dotyczące obsługi </w:t>
      </w:r>
      <w:r w:rsidR="00520D7A" w:rsidRPr="002F7C07">
        <w:rPr>
          <w:rFonts w:ascii="Century Gothic" w:eastAsia="Times New Roman" w:hAnsi="Century Gothic" w:cs="Times New Roman"/>
          <w:sz w:val="28"/>
          <w:szCs w:val="28"/>
          <w:lang w:eastAsia="pl-PL"/>
        </w:rPr>
        <w:t>geodezyjnej</w:t>
      </w:r>
      <w:r w:rsidRPr="002F7C07">
        <w:rPr>
          <w:rFonts w:ascii="Century Gothic" w:eastAsia="Times New Roman" w:hAnsi="Century Gothic" w:cs="Times New Roman"/>
          <w:sz w:val="28"/>
          <w:szCs w:val="28"/>
          <w:lang w:eastAsia="pl-PL"/>
        </w:rPr>
        <w:t xml:space="preserve">: </w:t>
      </w:r>
    </w:p>
    <w:p w14:paraId="1165A537" w14:textId="77777777" w:rsidR="00810A16" w:rsidRPr="002F7C07" w:rsidRDefault="00810A16" w:rsidP="00305C5F">
      <w:pPr>
        <w:spacing w:after="0" w:line="240" w:lineRule="auto"/>
        <w:ind w:left="1778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037FF5A4" w14:textId="5A32B5F0" w:rsidR="0089631E" w:rsidRPr="002F7C07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Dla zadań zleconych, które w swoim zakresie obejmują zakres wznowienia znaków granicznych, Wykonawca wykona prace geodezyjne polegające na wykonaniu przedmiotowych czynności łącznie ze zgłoszeniem prac w Ośrodku Dokumentacji Geodezyjno-Kartograficznym.</w:t>
      </w:r>
    </w:p>
    <w:p w14:paraId="5EFF5311" w14:textId="4DDC14E5" w:rsidR="0089631E" w:rsidRPr="002F7C07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zadań, których nie można zrealizować w jednym etapie Wykonawca zapewni, iż obsługa geodezyjna będzie przeprowadzana etapowo zgodnie z przyjętym harmonogramem prac budowlanych dla przedmiotowych zadań. Zagadnienie to dotyczy wytyczenia jak i pomiaru powykonawczego zgłaszanego przez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ykonawcę prac budowlanych lub Zamawiającego.</w:t>
      </w:r>
    </w:p>
    <w:p w14:paraId="04229FC0" w14:textId="77777777" w:rsidR="0089631E" w:rsidRPr="002F7C07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Wytyczeniu podlegać będą wszystkie elementy realizowane w danym zadaniu z uwzględnieniem także takich elementów jak:</w:t>
      </w:r>
    </w:p>
    <w:p w14:paraId="3F5743CB" w14:textId="77777777" w:rsidR="0089631E" w:rsidRPr="002F7C07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szerokość pasa robót montażowych, </w:t>
      </w:r>
    </w:p>
    <w:p w14:paraId="11D0A1AF" w14:textId="77777777" w:rsidR="0089631E" w:rsidRPr="002F7C07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zmiana grubości ścianki, </w:t>
      </w:r>
    </w:p>
    <w:p w14:paraId="0BD76F60" w14:textId="11A6C88A" w:rsidR="0089631E" w:rsidRPr="002F7C07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obciążniki,  </w:t>
      </w:r>
    </w:p>
    <w:p w14:paraId="46682196" w14:textId="057753B2" w:rsidR="00FD76B0" w:rsidRPr="002F7C07" w:rsidRDefault="00FD76B0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kompensatory,</w:t>
      </w:r>
    </w:p>
    <w:p w14:paraId="31431B07" w14:textId="77777777" w:rsidR="00A061C4" w:rsidRPr="002F7C07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skrzyżowania z obcymi sieciami wraz z znacznikami (np. EMS), </w:t>
      </w:r>
    </w:p>
    <w:p w14:paraId="0147019A" w14:textId="0F1A6225" w:rsidR="00FD76B0" w:rsidRPr="002F7C07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wszystkie inne elementy, które wymagają tyczenia w trakcie  prac budowlano-montażowych, które nie mogą być prawidłowo usytuowane bez pomiarów geodezyjnych, a które zgłosi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ykonawca robót budowlanych lub Zamawiający. </w:t>
      </w:r>
    </w:p>
    <w:p w14:paraId="4B1DB440" w14:textId="743B2206" w:rsidR="0089631E" w:rsidRPr="002F7C07" w:rsidRDefault="0089631E" w:rsidP="00305C5F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 </w:t>
      </w:r>
      <w:r w:rsidR="00520D7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zrealizowaniu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wytyczenia Wykonawca wykona dokumentację wytyczenia szczegółów (szkice), która sporządzona zostanie na postawie dokumentacji projektowej</w:t>
      </w:r>
      <w:r w:rsidR="00FD76B0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(o ile występuje)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wyników wykonanego tyczenia  i będzie dołączona wraz z odpowiednim wpisem do dziennika budowy. </w:t>
      </w:r>
    </w:p>
    <w:p w14:paraId="2EB38CAF" w14:textId="0233EDD4" w:rsidR="007B0BE0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Dla obiektów </w:t>
      </w:r>
      <w:r w:rsidR="19CD85C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liniowych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takich jak: gazociągi, przewody elektroenergetyczne, przewody ochrony antykorozyjnej, przewody telemetryczne, itp., jeśli zajdzie taka konieczność, Wykonawca na wniosek Zamawiającego zobligowany będzie na etapie budowy do określenia rzeczywistej powierzchni pasa montażowego w odniesieniu do granic władania przedmiotowych nieruchomości zgodnych z ewidencją gruntów i budynków oraz do podania długości przedmiotowych obiektów liniowych w omawianym pasie. Obliczona i podana długość oraz powierzchnia  wyznaczonego obszaru odniesiona do obiektów liniowych po wybudowaniu posłużą  do naliczenia i wypłaty odszkodowań za zajęcie pasa montażowego.</w:t>
      </w:r>
    </w:p>
    <w:p w14:paraId="5013894E" w14:textId="77777777" w:rsidR="00A061C4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Preferowaną formą klauzuli map papierowych będzie klauzula urzędowa w rozumieniu ustawy Prawo Geodezyjne i Kartograficzne.</w:t>
      </w:r>
    </w:p>
    <w:p w14:paraId="2128374E" w14:textId="1D377CF7" w:rsidR="00A061C4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przewiertów sterowanych przebieg sieci gazowej należy umieścić z odpowiednią adnotacją na mapie w Ośrodku Dokumentacji Geodezyjnej i Kartograficznej i branżowej mapie hybrydowej na podstawie danych otrzymanych od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ykonawcy danego przewiertu.</w:t>
      </w:r>
    </w:p>
    <w:p w14:paraId="5548F6D8" w14:textId="77777777" w:rsidR="00A061C4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Konieczne jest zaznaczenie na numerycznej mapie branżowej Zamawiającego we właściwej lokalizacji wszystkich połączeń spawanych, także tych odcinków, które były wykonywane metodą </w:t>
      </w:r>
      <w:proofErr w:type="spellStart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bezwykopową</w:t>
      </w:r>
      <w:proofErr w:type="spellEnd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Dla przedmiotowych odcinków nanieść położenie spoin wykorzystując dziennik spawania i dane w nim zawarte.  </w:t>
      </w:r>
    </w:p>
    <w:p w14:paraId="7599E7E1" w14:textId="77777777" w:rsidR="00A061C4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Dla gazociągów na powykonawczej mapie wektorowej należy umieścić informację na temat klasy lokalizacji wraz z podaniem roku jej ustalenia. Klasa lokalizacji zostanie przedstawiona jako symbol branżowy za pomocą linii prostopadłej do gazociągu wraz z opisem słownym. Adnotacja zostanie umieszczona bezpośrednio nad przedmiotowym gazociągiem i będzie zawierać nazwę klasy. Symbol wraz z opisem odnośnie klasy lokalizacji należy umieszczać co 500 m w pasie gazociągu oraz na jej początku i końcu z uwzględnieniem klas sąsiednich.</w:t>
      </w:r>
    </w:p>
    <w:p w14:paraId="40C3B248" w14:textId="48848FC4" w:rsidR="00A061C4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obiektów liniowych takich jak gazociąg, światłowód  Wykonawca zobligowany  </w:t>
      </w:r>
      <w:r w:rsidR="19CD85C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jest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do podawania w zestawieniu tabelarycznym długość gazociągu w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>podziale na obręby, gminy i powiaty w rozróżnieniu na odległości przestrzenne i zredukowane. Długości należy podawać w układzie współrzędnych 2000 w odpowiedniej strefie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(w metrach)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</w:p>
    <w:p w14:paraId="1E92A303" w14:textId="6DE79451" w:rsidR="00A061C4" w:rsidRPr="002F7C07" w:rsidRDefault="0089631E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Każdorazowo na żądanie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robót budowlanych lub Zamawiającego, w wyniku wykonania inwentaryzacji, Wykonawca przekaże geodezyjne szkice powykonawcze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robót budowlanych nie później niż następnego dnia roboczego. Przedmiotowe szkice powykonawcze, obejmujące zinwentaryzowany obszar wraz ze wszystkimi elementami zgłoszonymi do inwentaryzacji, będą zawierały także dane liczbowe wraz z miarami kontrolnymi, które niezbędne będą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prac budowlanych lub Zamawiającemu do zakończenia kolejnych etapów realizowanych prac. </w:t>
      </w:r>
    </w:p>
    <w:p w14:paraId="601DDE18" w14:textId="77777777" w:rsidR="00A061C4" w:rsidRPr="002F7C07" w:rsidRDefault="0089631E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w ramach umowy zobligowany jest do umieszczania wszelkich redakcji mapowych na mapach zasadniczych poprzez umieszczanie nowych elementów na mapie bądź skorygowanie przebiegu błędnie naniesionej infrastruktury technicznej (elementów uzbrojenia technicznego i szczegółów sytuacyjnych) w opracowywanym pasie na wszystkich skalach mapowych prowadzonych przez Ośrodek Dokumentacji Geodezyjnej i Kartograficznej, na przykład dotyczy to sytuacji, w której Wykonawca przekaże </w:t>
      </w:r>
      <w:proofErr w:type="spellStart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zaklauzulowaną</w:t>
      </w:r>
      <w:proofErr w:type="spellEnd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mapę z Ośrodka Dokumentacji Geodezyjnej i Kartograficznej w skali 1:1 000, a w zasobie Ośrodka Dokumentacji Geodezyjnej i Kartograficznej prowadzona jest także mapa w skali 1: 500 lub na odwrót, jeśli przekaże mapę w skali 1: 500, a w Ośrodka Dokumentacji Geodezyjnej i Kartograficznej jest również prowadzona mapa w skali 1:1 000, nawet w sytuacji gdy takiej mapy Wykonawca z różnych względów nie otrzymał z Ośrodkow</w:t>
      </w:r>
      <w:r w:rsidR="000867C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Dokumentacji Geodezyjnej i Kartograficznej. Potwierdzeniem poprawnie wykonanego zamówienia jest przekazanie </w:t>
      </w:r>
      <w:proofErr w:type="spellStart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zaklauzulowanej</w:t>
      </w:r>
      <w:proofErr w:type="spellEnd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mapy zasadniczej we wszystkich skalach prowadzonych przez Ośrodek Dokumentacji Geodezyjnej i Kartograficznej.</w:t>
      </w:r>
    </w:p>
    <w:p w14:paraId="47922170" w14:textId="77777777" w:rsidR="00A061C4" w:rsidRPr="002F7C07" w:rsidRDefault="00282C7B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 uwagi na prowadzoną Branżową Mapę Numeryczną,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wymagane jest</w:t>
      </w:r>
      <w:r w:rsidR="00960BF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aby jej zawartość w zakresie </w:t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posiadanej </w:t>
      </w:r>
      <w:r w:rsidR="00960BF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infrastruktury </w:t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była zgodna 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 zasobem mapowym w Ośrodku Dokumentacji Geodezyjnej </w:t>
      </w:r>
      <w:r w:rsidR="00E61E3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i Kartograficznej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(tj. m. in. z Geodezyjną Ewidencją Sieci Uzbrojenia Terenu)</w:t>
      </w:r>
      <w:r w:rsidR="00E61E3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960BF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  </w:t>
      </w:r>
      <w:r w:rsidR="00E61E3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związku z powyższym</w:t>
      </w:r>
      <w:r w:rsidR="004F2AB5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po zakończeniu zadania</w:t>
      </w:r>
      <w:r w:rsidR="001460F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jeden egzemplarz mapy </w:t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należy </w:t>
      </w:r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dostarc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zyć w </w:t>
      </w:r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wersji </w:t>
      </w:r>
      <w:proofErr w:type="spellStart"/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analogowej-papierowej</w:t>
      </w:r>
      <w:proofErr w:type="spellEnd"/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, po naniesieniu zmian w zasobie geodezyjnym</w:t>
      </w:r>
      <w:r w:rsidR="00EC29FB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we właściwym Ośrodku Dokumentacji Geodezyjnej i Kartograficznej (także kolejowym) jako dowód wprowadzonej treści</w:t>
      </w:r>
      <w:r w:rsidR="001460F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Mapę należy przekazać </w:t>
      </w:r>
      <w:r w:rsidR="003948B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jako opracowanie </w:t>
      </w:r>
      <w:r w:rsidR="00317AAE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formacie A1 w </w:t>
      </w:r>
      <w:r w:rsidR="003948B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podziale</w:t>
      </w:r>
      <w:r w:rsidR="00317AAE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sekcyjnym</w:t>
      </w:r>
      <w:r w:rsidR="003948B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317AAE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 sk</w:t>
      </w:r>
      <w:r w:rsidR="003948B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="00317AAE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li 1: 500. </w:t>
      </w:r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Przedmiotowe opracowanie można przekazać np. w formie mapy do celów opiniodawczych</w:t>
      </w:r>
      <w:r w:rsidR="00317AAE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3DA0100B" w14:textId="77777777" w:rsidR="00A061C4" w:rsidRPr="002F7C07" w:rsidRDefault="00D4064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wyniku 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zaistniałej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potrzeby wykonawcy robót budowlanych</w:t>
      </w:r>
      <w:r w:rsidR="00A3337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bądź Zamawiającego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wykonawca geodezyjny po zakończeniu prac w terenie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zobowiązany będzie</w:t>
      </w:r>
      <w:r w:rsidR="00A3337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terminie do 2 tygodni do przekazania geodezyjnej dokumentacji powykonawczej </w:t>
      </w:r>
      <w:r w:rsidR="00A3337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tym: 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mapy powykonawczej 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(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bez 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konieczności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stosownej klauzuli  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 z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asobu 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g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eodezyjnego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)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innych materiałów: np. szkiców pomiarowych,   wykazów współrzędnych, lub oświadczeń</w:t>
      </w:r>
      <w:r w:rsidR="0055688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. P</w:t>
      </w:r>
      <w:r w:rsidR="00A3337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rzedmiotowe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materiały, posłużą do uzyskania stosownych dokumentów umożliwiających </w:t>
      </w:r>
      <w:r w:rsidR="00D55C3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m. in.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otrzymanie zgodny na użytkownie zrealizowanych obiektów.   </w:t>
      </w:r>
    </w:p>
    <w:p w14:paraId="75F56B59" w14:textId="59790BC4" w:rsidR="00270836" w:rsidRPr="002F7C07" w:rsidRDefault="00D14DB0" w:rsidP="00270836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Dla następujących obiektów: stacja gazowa,  tłocznia, punkt pomiarowy, zespół zaporowo-upustowy, węzeł gazowy,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należy dołączyć dokumentację zdjęciową, która zostanie wykonana dla całego obiektu, nawet w przypadku, gdy zleceniu podlega jedynie jego fragment. Przedmiotowa dokumentacja </w:t>
      </w:r>
      <w:r w:rsidR="00C57A9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zdjęciowa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powinna zostać wykonana  zgodnie z p</w:t>
      </w:r>
      <w:r w:rsidR="00DE610B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unktem</w:t>
      </w:r>
      <w:r w:rsidR="001609A8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Standard danych pomocniczych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zawarty</w:t>
      </w:r>
      <w:r w:rsidR="00DE610B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m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DE610B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Instrukcj</w:t>
      </w:r>
      <w:r w:rsidR="00DE610B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bookmarkStart w:id="0" w:name="_Hlk69126031"/>
      <w:r w:rsidR="00DE610B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do projektowania infrastruktury systemu przesyłowego w zakresie pozyskiwania i przechowywania danych przestrzennych</w:t>
      </w:r>
      <w:bookmarkEnd w:id="0"/>
      <w:r w:rsidR="0027083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; </w:t>
      </w:r>
      <w:r w:rsidR="00886E01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Standard Bezpieczeństwa Technicznego znak</w:t>
      </w:r>
      <w:r w:rsidR="00270836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r w:rsidR="001609A8" w:rsidRPr="002F7C07">
        <w:rPr>
          <w:i/>
          <w:iCs/>
        </w:rPr>
        <w:t xml:space="preserve"> 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SBT-PE-</w:t>
      </w:r>
      <w:r w:rsidR="00886E01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35</w:t>
      </w:r>
      <w:r w:rsidR="00886E01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pn.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r w:rsidR="00886E01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Instrukcja</w:t>
      </w:r>
      <w:r w:rsidR="00270836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do projektowania infrastruktury systemu przesyłowego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w zakresie pozyskiwania i przechowywania danych przestrzennych</w:t>
      </w:r>
      <w:r w:rsidR="002F7C0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145F11C5" w14:textId="44E167D4" w:rsidR="001609A8" w:rsidRPr="002F7C07" w:rsidRDefault="0089631E" w:rsidP="00B86B0B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Szczegółowe wymagania</w:t>
      </w:r>
      <w:r w:rsidR="004278E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dotyczące zagadnień  ujętych  w niniejszym </w:t>
      </w:r>
      <w:r w:rsidR="00651A2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dokumencie</w:t>
      </w:r>
      <w:r w:rsidR="004278E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znajdują się w</w:t>
      </w:r>
      <w:r w:rsidR="008A512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Standardzie Bezpieczeństwa Technicznego znak</w:t>
      </w:r>
      <w:r w:rsidR="004278E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 </w:t>
      </w:r>
      <w:bookmarkStart w:id="1" w:name="_Hlk69130330"/>
      <w:r w:rsidR="001609A8" w:rsidRPr="002F7C07">
        <w:t xml:space="preserve"> 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SBT-PE-</w:t>
      </w:r>
      <w:r w:rsidR="008A512D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35</w:t>
      </w:r>
      <w:r w:rsidR="008A512D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pn.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r w:rsidR="008A512D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Instrukcja 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do projektowania infrastruktury systemu przesyłowego w zakresie pozyskiwania i przechowywania danych przestrzennych</w:t>
      </w:r>
      <w:bookmarkEnd w:id="1"/>
      <w:r w:rsidR="004278E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  <w:r w:rsidR="00651A2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 wyniku prowadzenia prac</w:t>
      </w:r>
      <w:r w:rsidR="00033AC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51A2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geodezyjnych Wykonawca przekazuje materiały wymienione w punkcie dotyczącym przyjęci</w:t>
      </w:r>
      <w:r w:rsidR="00033AC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="00651A2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danych </w:t>
      </w:r>
      <w:r w:rsidR="00651A2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 xml:space="preserve">do zasobów GAZ-SYSTEM S.A., które zostały wskazane w </w:t>
      </w:r>
      <w:r w:rsidR="001609A8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przywołanej Instrukcji</w:t>
      </w:r>
      <w:r w:rsidR="0027083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;</w:t>
      </w:r>
      <w:r w:rsidR="001609A8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8A512D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Standard</w:t>
      </w:r>
      <w:r w:rsidR="00C70197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Bezpieczeństwa Technicznego znak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SBT-PE-</w:t>
      </w:r>
      <w:r w:rsidR="00C70197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35</w:t>
      </w:r>
      <w:r w:rsidR="00C70197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pn.</w:t>
      </w:r>
      <w:r w:rsidR="008A512D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Instrukcja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do projektowania infrastruktury systemu przesyłowego w zakresie pozyskiwania i przechowywania danych przestrzennych</w:t>
      </w:r>
      <w:r w:rsidR="001609A8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jest załącznikiem do Wykazu regulacji wewnętrznych Zamawiającego, </w:t>
      </w:r>
    </w:p>
    <w:p w14:paraId="14258C1E" w14:textId="02468209" w:rsidR="0049454C" w:rsidRPr="002F7C07" w:rsidRDefault="0049454C" w:rsidP="00305C5F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65F74A91" w14:textId="5AF47877" w:rsidR="0049454C" w:rsidRPr="002F7C07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6FBE4B43" w14:textId="725A47F7" w:rsidR="0049454C" w:rsidRPr="002F7C07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0C87CE09" w14:textId="50F7FA1F" w:rsidR="0049454C" w:rsidRPr="002F7C07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544362B5" w14:textId="382EA5BA" w:rsidR="0049454C" w:rsidRPr="002F7C07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7098A097" w14:textId="2A55C0C2" w:rsidR="0049454C" w:rsidRPr="002F7C07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3758561F" w14:textId="3F5655C7" w:rsidR="00C20EA3" w:rsidRPr="002F7C07" w:rsidRDefault="00C20EA3" w:rsidP="007B0BE0">
      <w:pPr>
        <w:spacing w:after="0" w:line="240" w:lineRule="auto"/>
        <w:ind w:left="1701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C20EA3" w:rsidRPr="002F7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AAFD0" w14:textId="77777777" w:rsidR="00DD12B7" w:rsidRDefault="00DD12B7" w:rsidP="001868B6">
      <w:pPr>
        <w:spacing w:after="0" w:line="240" w:lineRule="auto"/>
      </w:pPr>
      <w:r>
        <w:separator/>
      </w:r>
    </w:p>
  </w:endnote>
  <w:endnote w:type="continuationSeparator" w:id="0">
    <w:p w14:paraId="59AE7917" w14:textId="77777777" w:rsidR="00DD12B7" w:rsidRDefault="00DD12B7" w:rsidP="001868B6">
      <w:pPr>
        <w:spacing w:after="0" w:line="240" w:lineRule="auto"/>
      </w:pPr>
      <w:r>
        <w:continuationSeparator/>
      </w:r>
    </w:p>
  </w:endnote>
  <w:endnote w:type="continuationNotice" w:id="1">
    <w:p w14:paraId="5B88AD9C" w14:textId="77777777" w:rsidR="00DD12B7" w:rsidRDefault="00DD12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8C99F" w14:textId="77777777" w:rsidR="00DD12B7" w:rsidRDefault="00DD12B7" w:rsidP="001868B6">
      <w:pPr>
        <w:spacing w:after="0" w:line="240" w:lineRule="auto"/>
      </w:pPr>
      <w:r>
        <w:separator/>
      </w:r>
    </w:p>
  </w:footnote>
  <w:footnote w:type="continuationSeparator" w:id="0">
    <w:p w14:paraId="05FBF935" w14:textId="77777777" w:rsidR="00DD12B7" w:rsidRDefault="00DD12B7" w:rsidP="001868B6">
      <w:pPr>
        <w:spacing w:after="0" w:line="240" w:lineRule="auto"/>
      </w:pPr>
      <w:r>
        <w:continuationSeparator/>
      </w:r>
    </w:p>
  </w:footnote>
  <w:footnote w:type="continuationNotice" w:id="1">
    <w:p w14:paraId="034FC53D" w14:textId="77777777" w:rsidR="00DD12B7" w:rsidRDefault="00DD12B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5200E8"/>
    <w:multiLevelType w:val="hybridMultilevel"/>
    <w:tmpl w:val="DC04014C"/>
    <w:lvl w:ilvl="0" w:tplc="B99C367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45C25"/>
    <w:multiLevelType w:val="hybridMultilevel"/>
    <w:tmpl w:val="9E1404D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6C32162B"/>
    <w:multiLevelType w:val="hybridMultilevel"/>
    <w:tmpl w:val="4F3AFC9E"/>
    <w:lvl w:ilvl="0" w:tplc="F5CC351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509074">
    <w:abstractNumId w:val="2"/>
  </w:num>
  <w:num w:numId="2" w16cid:durableId="965431252">
    <w:abstractNumId w:val="0"/>
  </w:num>
  <w:num w:numId="3" w16cid:durableId="1353847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1E"/>
    <w:rsid w:val="00033AC7"/>
    <w:rsid w:val="00037738"/>
    <w:rsid w:val="000867CA"/>
    <w:rsid w:val="000F1D06"/>
    <w:rsid w:val="00122825"/>
    <w:rsid w:val="00133A48"/>
    <w:rsid w:val="001460FF"/>
    <w:rsid w:val="001609A8"/>
    <w:rsid w:val="00186002"/>
    <w:rsid w:val="001868B6"/>
    <w:rsid w:val="00192917"/>
    <w:rsid w:val="001B2C05"/>
    <w:rsid w:val="001C372F"/>
    <w:rsid w:val="00225309"/>
    <w:rsid w:val="00226711"/>
    <w:rsid w:val="002609E7"/>
    <w:rsid w:val="00270836"/>
    <w:rsid w:val="00282C7B"/>
    <w:rsid w:val="002D75AD"/>
    <w:rsid w:val="002D7787"/>
    <w:rsid w:val="002F305E"/>
    <w:rsid w:val="002F7C07"/>
    <w:rsid w:val="00305C5F"/>
    <w:rsid w:val="00317AAE"/>
    <w:rsid w:val="0036203C"/>
    <w:rsid w:val="003948B6"/>
    <w:rsid w:val="003B5CDC"/>
    <w:rsid w:val="003D247C"/>
    <w:rsid w:val="004278E3"/>
    <w:rsid w:val="0044421F"/>
    <w:rsid w:val="00451958"/>
    <w:rsid w:val="0049454C"/>
    <w:rsid w:val="004F2AB5"/>
    <w:rsid w:val="00520D7A"/>
    <w:rsid w:val="005538CD"/>
    <w:rsid w:val="0055688C"/>
    <w:rsid w:val="00573549"/>
    <w:rsid w:val="005805CC"/>
    <w:rsid w:val="005B5F47"/>
    <w:rsid w:val="005D1AA1"/>
    <w:rsid w:val="005D2EF1"/>
    <w:rsid w:val="00651A2A"/>
    <w:rsid w:val="006900E3"/>
    <w:rsid w:val="00691069"/>
    <w:rsid w:val="006A6337"/>
    <w:rsid w:val="006B072E"/>
    <w:rsid w:val="007A3E57"/>
    <w:rsid w:val="007B0BE0"/>
    <w:rsid w:val="00807287"/>
    <w:rsid w:val="00810A16"/>
    <w:rsid w:val="008143BD"/>
    <w:rsid w:val="00815D71"/>
    <w:rsid w:val="008177CB"/>
    <w:rsid w:val="00850034"/>
    <w:rsid w:val="00874A19"/>
    <w:rsid w:val="00886E01"/>
    <w:rsid w:val="00895C86"/>
    <w:rsid w:val="0089631E"/>
    <w:rsid w:val="008A1B7F"/>
    <w:rsid w:val="008A512D"/>
    <w:rsid w:val="009301C6"/>
    <w:rsid w:val="00960BF9"/>
    <w:rsid w:val="009640BC"/>
    <w:rsid w:val="0096528C"/>
    <w:rsid w:val="009868DF"/>
    <w:rsid w:val="00A061C4"/>
    <w:rsid w:val="00A3337D"/>
    <w:rsid w:val="00A408EF"/>
    <w:rsid w:val="00A47794"/>
    <w:rsid w:val="00AA4C0C"/>
    <w:rsid w:val="00AA6E8B"/>
    <w:rsid w:val="00AA7E71"/>
    <w:rsid w:val="00AC1080"/>
    <w:rsid w:val="00AC23E0"/>
    <w:rsid w:val="00B25D49"/>
    <w:rsid w:val="00B4140A"/>
    <w:rsid w:val="00B57804"/>
    <w:rsid w:val="00B737FC"/>
    <w:rsid w:val="00B86B0B"/>
    <w:rsid w:val="00BE3367"/>
    <w:rsid w:val="00C20EA3"/>
    <w:rsid w:val="00C21F66"/>
    <w:rsid w:val="00C3323B"/>
    <w:rsid w:val="00C57A9D"/>
    <w:rsid w:val="00C70197"/>
    <w:rsid w:val="00D14DB0"/>
    <w:rsid w:val="00D2357D"/>
    <w:rsid w:val="00D40640"/>
    <w:rsid w:val="00D45004"/>
    <w:rsid w:val="00D45CE4"/>
    <w:rsid w:val="00D55C39"/>
    <w:rsid w:val="00D82F07"/>
    <w:rsid w:val="00DD10D0"/>
    <w:rsid w:val="00DD12B7"/>
    <w:rsid w:val="00DE610B"/>
    <w:rsid w:val="00E34313"/>
    <w:rsid w:val="00E61E3D"/>
    <w:rsid w:val="00E704BE"/>
    <w:rsid w:val="00EC00CA"/>
    <w:rsid w:val="00EC29FB"/>
    <w:rsid w:val="00ED763F"/>
    <w:rsid w:val="00F33599"/>
    <w:rsid w:val="00F51260"/>
    <w:rsid w:val="00F64516"/>
    <w:rsid w:val="00F775BC"/>
    <w:rsid w:val="00F90880"/>
    <w:rsid w:val="00F9531B"/>
    <w:rsid w:val="00FD0BB5"/>
    <w:rsid w:val="00FD76B0"/>
    <w:rsid w:val="19CD8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F6BEF"/>
  <w15:docId w15:val="{9D3C6B13-30B7-47ED-B369-4203C484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963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631E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31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31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08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08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08EF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A633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A6337"/>
    <w:rPr>
      <w:rFonts w:ascii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91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917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6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10D0"/>
  </w:style>
  <w:style w:type="paragraph" w:styleId="Stopka">
    <w:name w:val="footer"/>
    <w:basedOn w:val="Normalny"/>
    <w:link w:val="Stopka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10D0"/>
  </w:style>
  <w:style w:type="paragraph" w:styleId="Poprawka">
    <w:name w:val="Revision"/>
    <w:hidden/>
    <w:uiPriority w:val="99"/>
    <w:semiHidden/>
    <w:rsid w:val="00B41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Tokarczuk Justyna</cp:lastModifiedBy>
  <cp:revision>6</cp:revision>
  <dcterms:created xsi:type="dcterms:W3CDTF">2023-08-09T12:51:00Z</dcterms:created>
  <dcterms:modified xsi:type="dcterms:W3CDTF">2024-12-17T13:56:00Z</dcterms:modified>
</cp:coreProperties>
</file>