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B4174" w14:textId="60B362FE" w:rsidR="000341F8" w:rsidRPr="00906826" w:rsidRDefault="000341F8" w:rsidP="000341F8">
      <w:pPr>
        <w:jc w:val="right"/>
        <w:rPr>
          <w:rFonts w:ascii="Century Gothic" w:hAnsi="Century Gothic"/>
          <w:sz w:val="20"/>
          <w:szCs w:val="20"/>
        </w:rPr>
      </w:pPr>
      <w:bookmarkStart w:id="0" w:name="_Hlk80265771"/>
      <w:r w:rsidRPr="00906826">
        <w:rPr>
          <w:rFonts w:ascii="Century Gothic" w:hAnsi="Century Gothic"/>
          <w:sz w:val="20"/>
          <w:szCs w:val="20"/>
        </w:rPr>
        <w:t xml:space="preserve">Załącznik nr </w:t>
      </w:r>
      <w:r w:rsidR="005B7F05">
        <w:rPr>
          <w:rFonts w:ascii="Century Gothic" w:hAnsi="Century Gothic"/>
          <w:sz w:val="20"/>
          <w:szCs w:val="20"/>
        </w:rPr>
        <w:t>3</w:t>
      </w:r>
      <w:r w:rsidR="00906826" w:rsidRPr="00906826">
        <w:rPr>
          <w:rFonts w:ascii="Century Gothic" w:hAnsi="Century Gothic"/>
          <w:sz w:val="20"/>
          <w:szCs w:val="20"/>
        </w:rPr>
        <w:t xml:space="preserve"> </w:t>
      </w:r>
      <w:r w:rsidRPr="00906826">
        <w:rPr>
          <w:rFonts w:ascii="Century Gothic" w:hAnsi="Century Gothic"/>
          <w:sz w:val="20"/>
          <w:szCs w:val="20"/>
        </w:rPr>
        <w:t xml:space="preserve">do Umowy </w:t>
      </w:r>
    </w:p>
    <w:p w14:paraId="4CBABCBB" w14:textId="77777777" w:rsidR="000341F8" w:rsidRPr="00906826" w:rsidRDefault="000341F8" w:rsidP="000341F8">
      <w:pPr>
        <w:jc w:val="center"/>
        <w:rPr>
          <w:rFonts w:ascii="Century Gothic" w:hAnsi="Century Gothic"/>
          <w:b/>
          <w:bCs/>
          <w:sz w:val="20"/>
          <w:szCs w:val="20"/>
        </w:rPr>
      </w:pPr>
      <w:r w:rsidRPr="00906826">
        <w:rPr>
          <w:rFonts w:ascii="Century Gothic" w:hAnsi="Century Gothic"/>
          <w:b/>
          <w:bCs/>
          <w:sz w:val="20"/>
          <w:szCs w:val="20"/>
        </w:rPr>
        <w:t>Przesłanki wykluczenia podwykonawców</w:t>
      </w:r>
    </w:p>
    <w:p w14:paraId="32E7379D" w14:textId="77777777" w:rsidR="000341F8" w:rsidRPr="00906826" w:rsidRDefault="000341F8" w:rsidP="000341F8">
      <w:pPr>
        <w:jc w:val="both"/>
        <w:rPr>
          <w:rFonts w:ascii="Century Gothic" w:hAnsi="Century Gothic"/>
          <w:sz w:val="20"/>
          <w:szCs w:val="20"/>
        </w:rPr>
      </w:pPr>
    </w:p>
    <w:p w14:paraId="6B4D482A" w14:textId="77777777" w:rsidR="000341F8" w:rsidRPr="00906826" w:rsidRDefault="000341F8" w:rsidP="000341F8">
      <w:pPr>
        <w:spacing w:after="0" w:line="360" w:lineRule="auto"/>
        <w:jc w:val="both"/>
        <w:rPr>
          <w:rFonts w:ascii="Century Gothic" w:hAnsi="Century Gothic"/>
          <w:sz w:val="20"/>
          <w:szCs w:val="20"/>
        </w:rPr>
      </w:pPr>
      <w:r w:rsidRPr="00906826">
        <w:rPr>
          <w:rFonts w:ascii="Century Gothic" w:hAnsi="Century Gothic"/>
          <w:sz w:val="20"/>
          <w:szCs w:val="20"/>
        </w:rPr>
        <w:t>Przez „Dostawcę” należy rozumieć odpowiednio „Podwykonawcę”.</w:t>
      </w:r>
    </w:p>
    <w:p w14:paraId="0ED67410" w14:textId="77777777" w:rsidR="000341F8" w:rsidRPr="00906826" w:rsidRDefault="000341F8" w:rsidP="000341F8">
      <w:pPr>
        <w:spacing w:after="0" w:line="360" w:lineRule="auto"/>
        <w:jc w:val="both"/>
        <w:rPr>
          <w:rFonts w:ascii="Century Gothic" w:hAnsi="Century Gothic"/>
          <w:sz w:val="20"/>
          <w:szCs w:val="20"/>
        </w:rPr>
      </w:pPr>
    </w:p>
    <w:p w14:paraId="542F4694" w14:textId="77777777" w:rsidR="000341F8" w:rsidRPr="00906826" w:rsidRDefault="000341F8" w:rsidP="000341F8">
      <w:pPr>
        <w:pStyle w:val="Akapitzlist"/>
        <w:numPr>
          <w:ilvl w:val="0"/>
          <w:numId w:val="5"/>
        </w:numPr>
        <w:spacing w:after="0" w:line="360" w:lineRule="auto"/>
        <w:contextualSpacing w:val="0"/>
        <w:jc w:val="both"/>
        <w:rPr>
          <w:rFonts w:ascii="Century Gothic" w:hAnsi="Century Gothic"/>
          <w:sz w:val="20"/>
          <w:szCs w:val="20"/>
        </w:rPr>
      </w:pPr>
      <w:r w:rsidRPr="00906826">
        <w:rPr>
          <w:rFonts w:ascii="Century Gothic" w:hAnsi="Century Gothic"/>
          <w:sz w:val="20"/>
          <w:szCs w:val="20"/>
        </w:rPr>
        <w:t>Z Postępowania o udzielenie Zamówienia Niepublicznego Zamawiający wyklucza:</w:t>
      </w:r>
    </w:p>
    <w:p w14:paraId="34B38185"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 xml:space="preserve">Dostawcę,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7C986A"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który naruszył obowiązki dotyczące płatności podatków, opłat lub składek na ubezpieczenie społeczne lub zdrowotne, chyba że Dostawca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7F0172F"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będącego osobą fizyczną, którą prawomocnie skazano za przestępstwo:</w:t>
      </w:r>
    </w:p>
    <w:p w14:paraId="50B66FDE"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01EE72FD"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 handlu ludźmi, o którym mowa w art. 189a Kodeksu karnego, </w:t>
      </w:r>
    </w:p>
    <w:p w14:paraId="33BE177F"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 o którym mowa w art. 228-230a, art. 250a Kodeksu karnego lub w art. 46 lub art. 48 ustawy z dnia 25 czerwca 2010 r. o sporcie, </w:t>
      </w:r>
    </w:p>
    <w:p w14:paraId="1E9836D6"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07C7619"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 o charakterze terrorystycznym, o którym mowa w art. 115 § 20 Kodeksu karnego, lub mające na celu popełnienie tego przestępstwa, </w:t>
      </w:r>
    </w:p>
    <w:p w14:paraId="51CB8C6D"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(Dz.U. poz. 769), </w:t>
      </w:r>
    </w:p>
    <w:p w14:paraId="08D7084B" w14:textId="77777777" w:rsidR="000341F8" w:rsidRPr="00906826" w:rsidRDefault="000341F8" w:rsidP="000341F8">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90682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C65DECB" w14:textId="77777777" w:rsidR="000341F8" w:rsidRPr="00906826" w:rsidRDefault="000341F8" w:rsidP="000341F8">
      <w:pPr>
        <w:pStyle w:val="Akapitzlist"/>
        <w:autoSpaceDE w:val="0"/>
        <w:autoSpaceDN w:val="0"/>
        <w:adjustRightInd w:val="0"/>
        <w:spacing w:after="0" w:line="360" w:lineRule="auto"/>
        <w:ind w:left="1134"/>
        <w:jc w:val="both"/>
        <w:rPr>
          <w:rFonts w:ascii="Century Gothic" w:hAnsi="Century Gothic"/>
          <w:sz w:val="20"/>
          <w:szCs w:val="20"/>
        </w:rPr>
      </w:pPr>
      <w:r w:rsidRPr="00906826">
        <w:rPr>
          <w:rFonts w:ascii="Century Gothic" w:hAnsi="Century Gothic"/>
          <w:sz w:val="20"/>
          <w:szCs w:val="20"/>
        </w:rPr>
        <w:t xml:space="preserve">- lub za odpowiedni czyn zabroniony określony w przepisach prawa obcego; </w:t>
      </w:r>
    </w:p>
    <w:p w14:paraId="2B20D868"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 xml:space="preserve">Dostawcę, jeżeli urzędującego członka jego organu zarządzającego lub nadzorczego, wspólnika spółki w spółce jawnej lub partnerskiej albo komplementariusza w spółce komandytowej lub </w:t>
      </w:r>
      <w:r w:rsidRPr="00906826">
        <w:rPr>
          <w:rFonts w:ascii="Century Gothic" w:hAnsi="Century Gothic"/>
          <w:sz w:val="20"/>
          <w:szCs w:val="20"/>
        </w:rPr>
        <w:lastRenderedPageBreak/>
        <w:t>komandytowo-akcyjnej lub prokurenta prawomocnie skazano za przestępstwo, o którym mowa w pkt 1.3,</w:t>
      </w:r>
    </w:p>
    <w:p w14:paraId="261ACC46"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wobec którego prawomocnie orzeczono zakaz ubiegania się o zamówienia publiczne,</w:t>
      </w:r>
      <w:r w:rsidRPr="00906826">
        <w:rPr>
          <w:rFonts w:ascii="Century Gothic" w:hAnsi="Century Gothic" w:cs="Times New Roman"/>
          <w:sz w:val="20"/>
          <w:szCs w:val="20"/>
        </w:rPr>
        <w:t xml:space="preserve"> </w:t>
      </w:r>
    </w:p>
    <w:p w14:paraId="6D1B5FA3"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jeżeli doszło do zakłócenia konkurencji wynikającego z wcześniejszego zaangażowania tego Dostawcy lub podmiotu, który należy z Dostawcą do tej samej grupy kapitałowej, w przygotowanie Postępowania, chyba że spowodowane tym zakłócenie konkurencji może być wyeliminowane w inny sposób niż przez wykluczenie Dostawcy z udziału w Postępowaniu. Przed wykluczeniem Dostawcy Zamawiający zapewnia temu Dostawcy możliwość udowodnienia, że jego zaangażowanie w przygotowanie Postępowania o udzielenie zamówienia nie zakłóci konkurencji</w:t>
      </w:r>
      <w:r w:rsidRPr="00906826">
        <w:rPr>
          <w:rFonts w:ascii="Century Gothic" w:hAnsi="Century Gothic" w:cs="Times New Roman"/>
          <w:sz w:val="20"/>
          <w:szCs w:val="20"/>
        </w:rPr>
        <w:t>;</w:t>
      </w:r>
    </w:p>
    <w:p w14:paraId="4E30D19F"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który w wyniku zamierzonego działania lub rażącego niedbalstwa wprowadził zamawiającego w błąd przy przedstawieniu informacji, że nie podlega wykluczeniu, spełnia warunki udziału w Postępowaniu lub kryteria selekcji, co mogło mieć istotny wpływ na decyzje podejmowane przez Zamawiającego w Postępowaniu, lub który zataił te informacje lub nie jest w stanie przedstawić wymaganych dokumentów</w:t>
      </w:r>
      <w:r w:rsidRPr="00906826">
        <w:rPr>
          <w:rFonts w:ascii="Century Gothic" w:hAnsi="Century Gothic" w:cs="Times New Roman"/>
          <w:sz w:val="20"/>
          <w:szCs w:val="20"/>
        </w:rPr>
        <w:t>;</w:t>
      </w:r>
    </w:p>
    <w:p w14:paraId="41E69FB2"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 xml:space="preserve">(uchylony);  </w:t>
      </w:r>
    </w:p>
    <w:p w14:paraId="47894ED3"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który bezprawnie wpływał lub próbował wpłynąć na czynności zamawiającego lub próbował pozyskać lub pozyskał informacje poufne, mogące dać mu przewagę w Postępowaniu o udzielenie Zamówienia Niepublicznego,</w:t>
      </w:r>
      <w:r w:rsidRPr="00906826">
        <w:rPr>
          <w:rFonts w:ascii="Century Gothic" w:hAnsi="Century Gothic" w:cs="Times New Roman"/>
          <w:sz w:val="20"/>
          <w:szCs w:val="20"/>
        </w:rPr>
        <w:t xml:space="preserve"> </w:t>
      </w:r>
    </w:p>
    <w:p w14:paraId="79A1C25A"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jeżeli Zamawiający może stwierdzić, na podstawie wiarygodnych przesłanek, że Dostawca zawarł z innymi Dostawcami porozumienie mające na celu zakłócenie konkurencji między Dostawcami w Postępowaniu o udzielenie Zamówienia Niepublicznego,</w:t>
      </w:r>
    </w:p>
    <w:p w14:paraId="4DA9DE65"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Dostawcę wpisanego na Listę Nierzetelnych Dostawców,</w:t>
      </w:r>
    </w:p>
    <w:p w14:paraId="08C5B185"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 xml:space="preserve"> (…) NIE DOTYCZY PODWYKONAWCÓW,</w:t>
      </w:r>
    </w:p>
    <w:p w14:paraId="2337F337"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(uchylono),</w:t>
      </w:r>
    </w:p>
    <w:p w14:paraId="347A4BCA" w14:textId="77777777" w:rsidR="000341F8" w:rsidRPr="00906826" w:rsidRDefault="000341F8" w:rsidP="000341F8">
      <w:pPr>
        <w:pStyle w:val="Akapitzlist"/>
        <w:numPr>
          <w:ilvl w:val="0"/>
          <w:numId w:val="5"/>
        </w:numPr>
        <w:spacing w:after="0" w:line="360" w:lineRule="auto"/>
        <w:contextualSpacing w:val="0"/>
        <w:jc w:val="both"/>
        <w:rPr>
          <w:rFonts w:ascii="Century Gothic" w:hAnsi="Century Gothic"/>
          <w:sz w:val="20"/>
          <w:szCs w:val="20"/>
        </w:rPr>
      </w:pPr>
      <w:r w:rsidRPr="00906826">
        <w:rPr>
          <w:rFonts w:ascii="Century Gothic" w:hAnsi="Century Gothic"/>
          <w:sz w:val="20"/>
          <w:szCs w:val="20"/>
        </w:rPr>
        <w:t>Dopuszcza się także, pod warunkiem wskazania takich przesłanek w Dokumentach Zamówienia, możliwość wykluczenia z Postępowania o udzielenie Zamówienia Niepublicznego Dostawcy w następujących przypadkach:</w:t>
      </w:r>
    </w:p>
    <w:p w14:paraId="52BA50CF"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 NIE DOTYCZY PODWYKONAWCÓW,</w:t>
      </w:r>
    </w:p>
    <w:p w14:paraId="50BAF987"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gdy znajduje się w sporze z Zamawiającym, w szczególności, jeżeli spór dotyczy dostaw, usług lub robót budowlanych wykonywanych przez danego Dostawcę na rzecz Zamawiającego,</w:t>
      </w:r>
    </w:p>
    <w:p w14:paraId="30039233" w14:textId="77777777" w:rsidR="000341F8" w:rsidRPr="00906826" w:rsidRDefault="000341F8" w:rsidP="000341F8">
      <w:pPr>
        <w:pStyle w:val="Akapitzlist"/>
        <w:numPr>
          <w:ilvl w:val="1"/>
          <w:numId w:val="5"/>
        </w:numPr>
        <w:spacing w:after="0" w:line="360" w:lineRule="auto"/>
        <w:ind w:left="993" w:hanging="567"/>
        <w:contextualSpacing w:val="0"/>
        <w:jc w:val="both"/>
        <w:rPr>
          <w:rFonts w:ascii="Century Gothic" w:hAnsi="Century Gothic"/>
          <w:sz w:val="20"/>
          <w:szCs w:val="20"/>
        </w:rPr>
      </w:pPr>
      <w:r w:rsidRPr="00906826">
        <w:rPr>
          <w:rFonts w:ascii="Century Gothic" w:hAnsi="Century Gothic"/>
          <w:sz w:val="20"/>
          <w:szCs w:val="20"/>
        </w:rPr>
        <w:t>gdy Zamawiający, na skutek uwierzytelnionych informacji dotyczących okoliczności związanych z Dostawcą takich jak niewykonanie umowy lub nienależyte wykonanie lub w znacznym stopniu lub w sposób długotrwały lub w odniesieniu do istotnego elementu umowy zawartej z innym zamawiającym, bądź innego rodzaju poważne naruszenie obowiązków zawodowych, mające miejsce w ciągu ostatnich trzech lat przed upływem terminu składania ofert, powziął istotne wątpliwości co do rzetelności lub uczciwości Dostawcy stwarzające poważne ryzyko naruszenia interesu Spółki w przypadku udzielenia zamówienia temu Dostawcy,</w:t>
      </w:r>
    </w:p>
    <w:p w14:paraId="140C866C" w14:textId="77777777" w:rsidR="000341F8" w:rsidRPr="00906826" w:rsidRDefault="000341F8" w:rsidP="000341F8">
      <w:pPr>
        <w:pStyle w:val="Akapitzlist"/>
        <w:numPr>
          <w:ilvl w:val="1"/>
          <w:numId w:val="5"/>
        </w:numPr>
        <w:spacing w:after="0" w:line="360" w:lineRule="auto"/>
        <w:ind w:left="992" w:hanging="567"/>
        <w:contextualSpacing w:val="0"/>
        <w:jc w:val="both"/>
        <w:rPr>
          <w:rFonts w:ascii="Century Gothic" w:hAnsi="Century Gothic"/>
          <w:sz w:val="20"/>
          <w:szCs w:val="20"/>
        </w:rPr>
      </w:pPr>
      <w:r w:rsidRPr="00906826">
        <w:rPr>
          <w:rFonts w:ascii="Century Gothic" w:hAnsi="Century Gothic"/>
          <w:sz w:val="20"/>
          <w:szCs w:val="20"/>
        </w:rPr>
        <w:t>gdy nie poddał się audytowi [tj.</w:t>
      </w:r>
      <w:r w:rsidRPr="00906826">
        <w:t xml:space="preserve"> </w:t>
      </w:r>
      <w:r w:rsidRPr="00906826">
        <w:rPr>
          <w:rFonts w:ascii="Century Gothic" w:hAnsi="Century Gothic"/>
          <w:sz w:val="20"/>
          <w:szCs w:val="20"/>
        </w:rPr>
        <w:t xml:space="preserve">Zamawiający przed wyborem oferty najkorzystniejszej może zwrócić się do Wykonawcy, którego oferta została oceniona wstępnie jako najkorzystniejsza o umożliwienie mu przeprowadzenia audytu technicznego, finansowego lub organizacyjnego, </w:t>
      </w:r>
      <w:r w:rsidRPr="00906826">
        <w:rPr>
          <w:rFonts w:ascii="Century Gothic" w:hAnsi="Century Gothic"/>
          <w:sz w:val="20"/>
          <w:szCs w:val="20"/>
        </w:rPr>
        <w:lastRenderedPageBreak/>
        <w:t>stanowiącego pogłębioną weryfikację warunków udziału określonych w Postępowaniu, mającego na celu zbadanie i potwierdzenie czy dany Wykonawca, podmioty na zasobach, których Dostawca polega lub podwykonawcy dysponują niezbędnymi zasobami umożliwiającymi im prawidłowe wykonanie przedmiotu Zamówienia. Negatywny wynik ww. audytu lub odmowa poddania się audytowi może być podstawą do wykluczenia danego Wykonawcy z Postępowania]  lub wynik audytu okazał się negatywny.</w:t>
      </w:r>
    </w:p>
    <w:p w14:paraId="3F8D932F" w14:textId="40C69D7E" w:rsidR="000341F8" w:rsidRPr="00906826" w:rsidRDefault="000341F8" w:rsidP="000341F8">
      <w:pPr>
        <w:pStyle w:val="Akapitzlist"/>
        <w:numPr>
          <w:ilvl w:val="0"/>
          <w:numId w:val="5"/>
        </w:numPr>
        <w:spacing w:after="0" w:line="360" w:lineRule="auto"/>
        <w:contextualSpacing w:val="0"/>
        <w:jc w:val="both"/>
        <w:rPr>
          <w:rFonts w:ascii="Century Gothic" w:hAnsi="Century Gothic"/>
          <w:sz w:val="20"/>
          <w:szCs w:val="20"/>
        </w:rPr>
      </w:pPr>
      <w:r w:rsidRPr="00906826">
        <w:rPr>
          <w:rFonts w:ascii="Century Gothic" w:hAnsi="Century Gothic"/>
          <w:sz w:val="20"/>
          <w:szCs w:val="20"/>
        </w:rPr>
        <w:t>W sytuacji stwierdzenia zaistnienia okoliczności stanowiących podstawy wykluczenia Dostawcy z Postępowania, można nie wykluczać Dostawcy, jeżeli wykluczenie byłoby w sposób oczywisty nieproporcjonalne do wagi stwierdzonego deliktu, w szczególności, gdy pomimo zaistnienia okoliczności, o których mowa w ust. 1 pkt 1.2 oraz ust. 2 pkt 2.2, 2.3,  rzetelność Dostawcy nie budzi wątpliwości ani nie stwarza ryzyka naruszenia interesu Zamawiającego podczas realizacji Zamówienia.</w:t>
      </w:r>
    </w:p>
    <w:p w14:paraId="1E94C0CB" w14:textId="04F2AB84" w:rsidR="000341F8" w:rsidRDefault="000341F8">
      <w:pPr>
        <w:spacing w:after="160" w:line="259" w:lineRule="auto"/>
        <w:rPr>
          <w:rFonts w:ascii="Century Gothic" w:hAnsi="Century Gothic"/>
          <w:color w:val="00B050"/>
          <w:sz w:val="20"/>
          <w:szCs w:val="20"/>
        </w:rPr>
      </w:pPr>
    </w:p>
    <w:bookmarkEnd w:id="0"/>
    <w:sectPr w:rsidR="000341F8" w:rsidSect="00CF3F28">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755F4" w14:textId="77777777" w:rsidR="003E38B6" w:rsidRDefault="003E38B6">
      <w:pPr>
        <w:spacing w:after="0" w:line="240" w:lineRule="auto"/>
      </w:pPr>
      <w:r>
        <w:separator/>
      </w:r>
    </w:p>
  </w:endnote>
  <w:endnote w:type="continuationSeparator" w:id="0">
    <w:p w14:paraId="67677B29" w14:textId="77777777" w:rsidR="003E38B6" w:rsidRDefault="003E3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b/>
        <w:sz w:val="16"/>
        <w:szCs w:val="16"/>
      </w:rPr>
      <w:id w:val="-1909683029"/>
      <w:docPartObj>
        <w:docPartGallery w:val="Page Numbers (Bottom of Page)"/>
        <w:docPartUnique/>
      </w:docPartObj>
    </w:sdtPr>
    <w:sdtEndPr/>
    <w:sdtContent>
      <w:sdt>
        <w:sdtPr>
          <w:rPr>
            <w:rFonts w:ascii="Century Gothic" w:hAnsi="Century Gothic"/>
            <w:b/>
            <w:sz w:val="16"/>
            <w:szCs w:val="16"/>
          </w:rPr>
          <w:id w:val="98381352"/>
          <w:docPartObj>
            <w:docPartGallery w:val="Page Numbers (Top of Page)"/>
            <w:docPartUnique/>
          </w:docPartObj>
        </w:sdtPr>
        <w:sdtEndPr/>
        <w:sdtContent>
          <w:p w14:paraId="651F109C" w14:textId="4F8C628D" w:rsidR="00F850D9" w:rsidRDefault="00912300" w:rsidP="008B2249">
            <w:pPr>
              <w:pStyle w:val="Stopka"/>
              <w:jc w:val="center"/>
              <w:rPr>
                <w:rFonts w:ascii="Century Gothic" w:hAnsi="Century Gothic"/>
                <w:b/>
                <w:sz w:val="16"/>
                <w:szCs w:val="16"/>
              </w:rPr>
            </w:pPr>
          </w:p>
          <w:p w14:paraId="1CCE2D1E" w14:textId="77777777" w:rsidR="00F850D9" w:rsidRPr="003E503B" w:rsidRDefault="001358DD" w:rsidP="003E503B">
            <w:pPr>
              <w:pStyle w:val="Stopka"/>
              <w:jc w:val="right"/>
              <w:rPr>
                <w:rFonts w:ascii="Century Gothic" w:hAnsi="Century Gothic"/>
              </w:rPr>
            </w:pPr>
            <w:r w:rsidRPr="003E503B">
              <w:rPr>
                <w:rFonts w:ascii="Century Gothic" w:hAnsi="Century Gothic"/>
                <w:b/>
                <w:sz w:val="16"/>
                <w:szCs w:val="16"/>
              </w:rPr>
              <w:t xml:space="preserve">Strona </w:t>
            </w:r>
            <w:r w:rsidRPr="003E503B">
              <w:rPr>
                <w:rFonts w:ascii="Century Gothic" w:hAnsi="Century Gothic"/>
                <w:b/>
                <w:bCs/>
                <w:sz w:val="16"/>
                <w:szCs w:val="16"/>
              </w:rPr>
              <w:fldChar w:fldCharType="begin"/>
            </w:r>
            <w:r w:rsidRPr="003E503B">
              <w:rPr>
                <w:rFonts w:ascii="Century Gothic" w:hAnsi="Century Gothic"/>
                <w:b/>
                <w:bCs/>
                <w:sz w:val="16"/>
                <w:szCs w:val="16"/>
              </w:rPr>
              <w:instrText>PAGE</w:instrText>
            </w:r>
            <w:r w:rsidRPr="003E503B">
              <w:rPr>
                <w:rFonts w:ascii="Century Gothic" w:hAnsi="Century Gothic"/>
                <w:b/>
                <w:bCs/>
                <w:sz w:val="16"/>
                <w:szCs w:val="16"/>
              </w:rPr>
              <w:fldChar w:fldCharType="separate"/>
            </w:r>
            <w:r>
              <w:rPr>
                <w:rFonts w:ascii="Century Gothic" w:hAnsi="Century Gothic"/>
                <w:b/>
                <w:bCs/>
                <w:noProof/>
                <w:sz w:val="16"/>
                <w:szCs w:val="16"/>
              </w:rPr>
              <w:t>2</w:t>
            </w:r>
            <w:r w:rsidRPr="003E503B">
              <w:rPr>
                <w:rFonts w:ascii="Century Gothic" w:hAnsi="Century Gothic"/>
                <w:b/>
                <w:bCs/>
                <w:sz w:val="16"/>
                <w:szCs w:val="16"/>
              </w:rPr>
              <w:fldChar w:fldCharType="end"/>
            </w:r>
            <w:r w:rsidRPr="003E503B">
              <w:rPr>
                <w:rFonts w:ascii="Century Gothic" w:hAnsi="Century Gothic"/>
                <w:b/>
                <w:sz w:val="16"/>
                <w:szCs w:val="16"/>
              </w:rPr>
              <w:t xml:space="preserve"> z </w:t>
            </w:r>
            <w:r w:rsidRPr="003E503B">
              <w:rPr>
                <w:rFonts w:ascii="Century Gothic" w:hAnsi="Century Gothic"/>
                <w:b/>
                <w:bCs/>
                <w:sz w:val="16"/>
                <w:szCs w:val="16"/>
              </w:rPr>
              <w:fldChar w:fldCharType="begin"/>
            </w:r>
            <w:r w:rsidRPr="003E503B">
              <w:rPr>
                <w:rFonts w:ascii="Century Gothic" w:hAnsi="Century Gothic"/>
                <w:b/>
                <w:bCs/>
                <w:sz w:val="16"/>
                <w:szCs w:val="16"/>
              </w:rPr>
              <w:instrText>NUMPAGES</w:instrText>
            </w:r>
            <w:r w:rsidRPr="003E503B">
              <w:rPr>
                <w:rFonts w:ascii="Century Gothic" w:hAnsi="Century Gothic"/>
                <w:b/>
                <w:bCs/>
                <w:sz w:val="16"/>
                <w:szCs w:val="16"/>
              </w:rPr>
              <w:fldChar w:fldCharType="separate"/>
            </w:r>
            <w:r>
              <w:rPr>
                <w:rFonts w:ascii="Century Gothic" w:hAnsi="Century Gothic"/>
                <w:b/>
                <w:bCs/>
                <w:noProof/>
                <w:sz w:val="16"/>
                <w:szCs w:val="16"/>
              </w:rPr>
              <w:t>9</w:t>
            </w:r>
            <w:r w:rsidRPr="003E503B">
              <w:rPr>
                <w:rFonts w:ascii="Century Gothic" w:hAnsi="Century Gothic"/>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3C2AE" w14:textId="77777777" w:rsidR="003E38B6" w:rsidRDefault="003E38B6">
      <w:pPr>
        <w:spacing w:after="0" w:line="240" w:lineRule="auto"/>
      </w:pPr>
      <w:r>
        <w:separator/>
      </w:r>
    </w:p>
  </w:footnote>
  <w:footnote w:type="continuationSeparator" w:id="0">
    <w:p w14:paraId="499252BE" w14:textId="77777777" w:rsidR="003E38B6" w:rsidRDefault="003E38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521"/>
    <w:multiLevelType w:val="multilevel"/>
    <w:tmpl w:val="6FAA59C6"/>
    <w:lvl w:ilvl="0">
      <w:start w:val="1"/>
      <w:numFmt w:val="decimal"/>
      <w:lvlText w:val="%1."/>
      <w:lvlJc w:val="left"/>
      <w:pPr>
        <w:ind w:left="360" w:hanging="360"/>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A164587"/>
    <w:multiLevelType w:val="hybridMultilevel"/>
    <w:tmpl w:val="4FE21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B837527"/>
    <w:multiLevelType w:val="hybridMultilevel"/>
    <w:tmpl w:val="3A7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0BF2D0A"/>
    <w:multiLevelType w:val="hybridMultilevel"/>
    <w:tmpl w:val="D2A24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19868353">
    <w:abstractNumId w:val="2"/>
  </w:num>
  <w:num w:numId="2" w16cid:durableId="982154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9996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2535152">
    <w:abstractNumId w:val="4"/>
  </w:num>
  <w:num w:numId="5" w16cid:durableId="575481649">
    <w:abstractNumId w:val="0"/>
  </w:num>
  <w:num w:numId="6" w16cid:durableId="1262563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8DD"/>
    <w:rsid w:val="000341F8"/>
    <w:rsid w:val="001358DD"/>
    <w:rsid w:val="002F28BA"/>
    <w:rsid w:val="003E38B6"/>
    <w:rsid w:val="005B7F05"/>
    <w:rsid w:val="006134B7"/>
    <w:rsid w:val="00906826"/>
    <w:rsid w:val="00912300"/>
    <w:rsid w:val="00B8752C"/>
    <w:rsid w:val="00BF2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A9318"/>
  <w15:chartTrackingRefBased/>
  <w15:docId w15:val="{D337E60B-3D1E-4AC4-9430-467FF1E5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58D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358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DD"/>
  </w:style>
  <w:style w:type="paragraph" w:styleId="Akapitzlist">
    <w:name w:val="List Paragraph"/>
    <w:aliases w:val="Preambuła,lp1,Nagłowek 3,Bullet list,Styl 1,EST_akapit z listą,Liste CGS,Numerowanie,BulletC,Wyliczanie,Obiekt,normalny tekst,Akapit z listą31,Bullets,List Paragraph1,Wypunktowanie,List Paragraph,maz_wyliczenie,opis dzialania,Punkt. 1"/>
    <w:basedOn w:val="Normalny"/>
    <w:link w:val="AkapitzlistZnak"/>
    <w:uiPriority w:val="34"/>
    <w:qFormat/>
    <w:rsid w:val="001358DD"/>
    <w:pPr>
      <w:ind w:left="720"/>
      <w:contextualSpacing/>
    </w:pPr>
  </w:style>
  <w:style w:type="character" w:styleId="Odwoaniedokomentarza">
    <w:name w:val="annotation reference"/>
    <w:basedOn w:val="Domylnaczcionkaakapitu"/>
    <w:uiPriority w:val="99"/>
    <w:unhideWhenUsed/>
    <w:rsid w:val="001358DD"/>
    <w:rPr>
      <w:sz w:val="16"/>
      <w:szCs w:val="16"/>
    </w:rPr>
  </w:style>
  <w:style w:type="paragraph" w:styleId="Tekstkomentarza">
    <w:name w:val="annotation text"/>
    <w:basedOn w:val="Normalny"/>
    <w:link w:val="TekstkomentarzaZnak"/>
    <w:uiPriority w:val="99"/>
    <w:unhideWhenUsed/>
    <w:rsid w:val="001358DD"/>
    <w:pPr>
      <w:spacing w:line="240" w:lineRule="auto"/>
    </w:pPr>
    <w:rPr>
      <w:sz w:val="20"/>
      <w:szCs w:val="20"/>
    </w:rPr>
  </w:style>
  <w:style w:type="character" w:customStyle="1" w:styleId="TekstkomentarzaZnak">
    <w:name w:val="Tekst komentarza Znak"/>
    <w:basedOn w:val="Domylnaczcionkaakapitu"/>
    <w:link w:val="Tekstkomentarza"/>
    <w:uiPriority w:val="99"/>
    <w:rsid w:val="001358DD"/>
    <w:rPr>
      <w:sz w:val="20"/>
      <w:szCs w:val="20"/>
    </w:rPr>
  </w:style>
  <w:style w:type="table" w:styleId="Tabela-Siatka">
    <w:name w:val="Table Grid"/>
    <w:basedOn w:val="Standardowy"/>
    <w:uiPriority w:val="59"/>
    <w:rsid w:val="001358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Preambuła Znak,lp1 Znak,Nagłowek 3 Znak,Bullet list Znak,Styl 1 Znak,EST_akapit z listą Znak,Liste CGS Znak,Numerowanie Znak,BulletC Znak,Wyliczanie Znak,Obiekt Znak,normalny tekst Znak,Akapit z listą31 Znak,Bullets Znak"/>
    <w:basedOn w:val="Domylnaczcionkaakapitu"/>
    <w:link w:val="Akapitzlist"/>
    <w:uiPriority w:val="34"/>
    <w:qFormat/>
    <w:locked/>
    <w:rsid w:val="001358DD"/>
  </w:style>
  <w:style w:type="paragraph" w:styleId="Nagwek">
    <w:name w:val="header"/>
    <w:basedOn w:val="Normalny"/>
    <w:link w:val="NagwekZnak"/>
    <w:uiPriority w:val="99"/>
    <w:unhideWhenUsed/>
    <w:rsid w:val="009068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6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938</Words>
  <Characters>5632</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Zwolińska Monika</dc:creator>
  <cp:keywords/>
  <dc:description/>
  <cp:lastModifiedBy>Okrzeja Sebastian</cp:lastModifiedBy>
  <cp:revision>6</cp:revision>
  <dcterms:created xsi:type="dcterms:W3CDTF">2022-05-20T13:37:00Z</dcterms:created>
  <dcterms:modified xsi:type="dcterms:W3CDTF">2023-11-16T09:58:00Z</dcterms:modified>
</cp:coreProperties>
</file>