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1D9C64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46C89">
        <w:rPr>
          <w:rFonts w:ascii="Century Gothic" w:hAnsi="Century Gothic" w:cs="Arial"/>
          <w:b/>
          <w:bCs/>
          <w:sz w:val="20"/>
          <w:szCs w:val="20"/>
        </w:rPr>
        <w:t>„</w:t>
      </w:r>
      <w:r w:rsidR="00246C89" w:rsidRPr="00246C89">
        <w:rPr>
          <w:rFonts w:ascii="Century Gothic" w:hAnsi="Century Gothic" w:cs="Century Gothic"/>
          <w:b/>
          <w:bCs/>
          <w:sz w:val="20"/>
          <w:szCs w:val="20"/>
        </w:rPr>
        <w:t>Sukcesywna dostawa uszczelek wielokrawędziowych</w:t>
      </w:r>
      <w:r w:rsidR="00246C89" w:rsidRPr="00246C89">
        <w:rPr>
          <w:rFonts w:ascii="Century Gothic" w:hAnsi="Century Gothic"/>
          <w:b/>
          <w:bCs/>
          <w:sz w:val="20"/>
        </w:rPr>
        <w:t xml:space="preserve"> </w:t>
      </w:r>
      <w:r w:rsidR="009A671D" w:rsidRPr="00246C89">
        <w:rPr>
          <w:rFonts w:ascii="Century Gothic" w:hAnsi="Century Gothic"/>
          <w:b/>
          <w:bCs/>
          <w:sz w:val="20"/>
        </w:rPr>
        <w:t>"</w:t>
      </w:r>
      <w:r w:rsidR="00BB3342" w:rsidRPr="00246C89">
        <w:rPr>
          <w:rFonts w:ascii="Century Gothic" w:hAnsi="Century Gothic"/>
          <w:sz w:val="20"/>
        </w:rPr>
        <w:t xml:space="preserve"> </w:t>
      </w:r>
      <w:r w:rsidR="0028703A" w:rsidRPr="00246C89">
        <w:rPr>
          <w:rFonts w:ascii="Century Gothic" w:hAnsi="Century Gothic"/>
          <w:sz w:val="20"/>
        </w:rPr>
        <w:t>– nr</w:t>
      </w:r>
      <w:r w:rsidR="00BB3342" w:rsidRPr="00246C89">
        <w:rPr>
          <w:rFonts w:ascii="Century Gothic" w:hAnsi="Century Gothic"/>
          <w:sz w:val="20"/>
        </w:rPr>
        <w:t> </w:t>
      </w:r>
      <w:r w:rsidR="0028703A" w:rsidRPr="00246C89">
        <w:rPr>
          <w:rFonts w:ascii="Century Gothic" w:hAnsi="Century Gothic"/>
          <w:sz w:val="20"/>
        </w:rPr>
        <w:t xml:space="preserve">postępowania: </w:t>
      </w:r>
      <w:bookmarkEnd w:id="0"/>
      <w:r w:rsidR="00246C89" w:rsidRPr="00246C89">
        <w:rPr>
          <w:rFonts w:ascii="Century Gothic" w:hAnsi="Century Gothic" w:cs="Century Gothic"/>
          <w:b/>
          <w:bCs/>
          <w:sz w:val="20"/>
          <w:szCs w:val="20"/>
        </w:rPr>
        <w:t>NP/2024/10/0822/PZ</w:t>
      </w:r>
      <w:r w:rsidR="00246C89" w:rsidRPr="00246C89">
        <w:rPr>
          <w:rFonts w:ascii="Century Gothic" w:hAnsi="Century Gothic" w:cs="Century Gothic"/>
          <w:b/>
          <w:bCs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C8A331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64A444F" w:rsidR="000768DE" w:rsidRPr="00246C89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246C8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246C89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46C89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46C8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246C89" w:rsidRPr="00246C89">
        <w:rPr>
          <w:rFonts w:ascii="Century Gothic" w:hAnsi="Century Gothic" w:cs="Century Gothic"/>
          <w:b/>
          <w:bCs/>
          <w:sz w:val="20"/>
          <w:szCs w:val="20"/>
        </w:rPr>
        <w:t>3</w:t>
      </w:r>
      <w:r w:rsidRPr="00246C89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246C89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46C89">
        <w:rPr>
          <w:rFonts w:ascii="Century Gothic" w:hAnsi="Century Gothic"/>
          <w:b/>
          <w:caps/>
          <w:sz w:val="20"/>
          <w:szCs w:val="20"/>
        </w:rPr>
        <w:t>Oświadczamy</w:t>
      </w:r>
      <w:r w:rsidRPr="00246C89">
        <w:rPr>
          <w:rFonts w:ascii="Century Gothic" w:hAnsi="Century Gothic"/>
          <w:b/>
          <w:bCs/>
          <w:sz w:val="20"/>
          <w:szCs w:val="20"/>
        </w:rPr>
        <w:t>,</w:t>
      </w:r>
      <w:r w:rsidRPr="00246C89">
        <w:rPr>
          <w:rFonts w:ascii="Century Gothic" w:hAnsi="Century Gothic"/>
          <w:sz w:val="20"/>
          <w:szCs w:val="20"/>
        </w:rPr>
        <w:t xml:space="preserve"> że </w:t>
      </w:r>
      <w:r w:rsidR="00984733" w:rsidRPr="00246C89">
        <w:rPr>
          <w:rFonts w:ascii="Century Gothic" w:hAnsi="Century Gothic"/>
          <w:sz w:val="20"/>
          <w:szCs w:val="20"/>
        </w:rPr>
        <w:t>zapozn</w:t>
      </w:r>
      <w:r w:rsidR="00672B96" w:rsidRPr="00246C89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246C89">
        <w:rPr>
          <w:rFonts w:ascii="Century Gothic" w:hAnsi="Century Gothic"/>
          <w:sz w:val="20"/>
          <w:szCs w:val="20"/>
        </w:rPr>
        <w:t>SWZ</w:t>
      </w:r>
      <w:r w:rsidRPr="00246C89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246C89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246C89">
        <w:rPr>
          <w:rFonts w:ascii="Century Gothic" w:hAnsi="Century Gothic"/>
          <w:sz w:val="20"/>
          <w:szCs w:val="20"/>
        </w:rPr>
        <w:t>określonymi w niej</w:t>
      </w:r>
      <w:r w:rsidRPr="00246C89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246C89">
        <w:rPr>
          <w:rFonts w:ascii="Century Gothic" w:hAnsi="Century Gothic"/>
          <w:sz w:val="20"/>
          <w:szCs w:val="20"/>
        </w:rPr>
        <w:t> </w:t>
      </w:r>
      <w:r w:rsidRPr="00246C89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46C8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246C8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246C89">
        <w:rPr>
          <w:rFonts w:ascii="Century Gothic" w:hAnsi="Century Gothic" w:cs="Arial"/>
          <w:sz w:val="20"/>
          <w:szCs w:val="20"/>
        </w:rPr>
        <w:t xml:space="preserve">e Wzorem </w:t>
      </w:r>
      <w:r w:rsidRPr="00246C8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246C89">
        <w:rPr>
          <w:rFonts w:ascii="Century Gothic" w:hAnsi="Century Gothic" w:cs="Arial"/>
          <w:sz w:val="20"/>
          <w:szCs w:val="20"/>
        </w:rPr>
        <w:t>1</w:t>
      </w:r>
      <w:r w:rsidRPr="00246C89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2FAE764" w14:textId="77777777" w:rsidR="00246C89" w:rsidRDefault="00246C89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1B95EE9B" w14:textId="2C834500" w:rsidR="00960B20" w:rsidRPr="00246C89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246C89">
        <w:rPr>
          <w:rFonts w:ascii="Century Gothic" w:hAnsi="Century Gothic"/>
          <w:b/>
          <w:sz w:val="20"/>
          <w:szCs w:val="20"/>
        </w:rPr>
        <w:t>Powyższa wycena zgodna jest z Formularzem Cenowym stanowiącym załącznik nr 1 do niniejszego Formularza.</w:t>
      </w:r>
    </w:p>
    <w:p w14:paraId="1440088C" w14:textId="34D842D2" w:rsidR="00960B20" w:rsidRDefault="00960B20" w:rsidP="00246C89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</w:p>
    <w:bookmarkEnd w:id="2"/>
    <w:p w14:paraId="050D3596" w14:textId="66CD7BDB" w:rsidR="00C249E0" w:rsidRDefault="00C249E0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91D44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A91D44">
        <w:rPr>
          <w:rFonts w:ascii="Century Gothic" w:hAnsi="Century Gothic" w:cs="Arial"/>
          <w:bCs/>
          <w:sz w:val="20"/>
          <w:szCs w:val="24"/>
        </w:rPr>
        <w:t xml:space="preserve"> i zobowiązuje</w:t>
      </w:r>
      <w:r w:rsidRPr="00A91D44">
        <w:rPr>
          <w:rFonts w:ascii="Century Gothic" w:hAnsi="Century Gothic" w:cs="Arial"/>
          <w:bCs/>
          <w:sz w:val="20"/>
        </w:rPr>
        <w:t>my</w:t>
      </w:r>
      <w:r w:rsidRPr="00A91D44">
        <w:rPr>
          <w:rFonts w:ascii="Century Gothic" w:hAnsi="Century Gothic" w:cs="Arial"/>
          <w:bCs/>
          <w:sz w:val="20"/>
          <w:szCs w:val="24"/>
        </w:rPr>
        <w:t xml:space="preserve"> się, że Przedmiot Zamówienia dostarczany w ramach Umowy </w:t>
      </w:r>
      <w:r w:rsidRPr="00A91D44">
        <w:rPr>
          <w:rFonts w:ascii="Century Gothic" w:hAnsi="Century Gothic" w:cs="Arial"/>
          <w:bCs/>
          <w:sz w:val="20"/>
          <w:szCs w:val="24"/>
        </w:rPr>
        <w:br/>
        <w:t xml:space="preserve">w zakresie każdej z części zamówienia będzie pochodził z państw członkowskich Unii Europejskiej, państw, z którymi Wspólnota Europejska zawarła umowy o równym traktowaniu przedsiębiorców </w:t>
      </w:r>
      <w:r w:rsidRPr="00A91D44">
        <w:rPr>
          <w:rFonts w:ascii="Century Gothic" w:hAnsi="Century Gothic" w:cs="Arial"/>
          <w:bCs/>
          <w:sz w:val="20"/>
          <w:szCs w:val="24"/>
        </w:rPr>
        <w:br/>
        <w:t>lub państw, wobec których na mocy decyzji Rady stosuje się przepisy dyrektywy 2014/25/UE w udziale wynoszącym co najmniej 50% wartości Przedmiotu Zamówienia.</w:t>
      </w:r>
    </w:p>
    <w:p w14:paraId="03C208D1" w14:textId="16924928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6DF3C5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3B612B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226F9B">
        <w:rPr>
          <w:rFonts w:ascii="Century Gothic" w:hAnsi="Century Gothic" w:cs="Arial"/>
          <w:sz w:val="20"/>
          <w:szCs w:val="20"/>
          <w:vertAlign w:val="superscript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162E4E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226F9B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37BD902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cenowy,</w:t>
      </w:r>
    </w:p>
    <w:p w14:paraId="75A93247" w14:textId="5ECA2A72" w:rsidR="006D4606" w:rsidRPr="006D4606" w:rsidRDefault="006D4606" w:rsidP="00246C8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4AB232AB" w14:textId="562F0575" w:rsidR="00226F9B" w:rsidRPr="00226F9B" w:rsidRDefault="00226F9B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>3</w:t>
      </w:r>
      <w:r>
        <w:rPr>
          <w:rFonts w:ascii="Century Gothic" w:hAnsi="Century Gothic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118F92F5" w:rsidR="00682801" w:rsidRPr="00C249E0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C249E0">
      <w:rPr>
        <w:rFonts w:ascii="Century Gothic" w:hAnsi="Century Gothic"/>
        <w:sz w:val="20"/>
        <w:szCs w:val="20"/>
      </w:rPr>
      <w:t xml:space="preserve">Załącznik nr </w:t>
    </w:r>
    <w:r w:rsidR="00C249E0" w:rsidRPr="00C249E0">
      <w:rPr>
        <w:rFonts w:ascii="Century Gothic" w:hAnsi="Century Gothic"/>
        <w:sz w:val="20"/>
        <w:szCs w:val="20"/>
      </w:rPr>
      <w:t>2</w:t>
    </w:r>
    <w:r w:rsidRPr="00C249E0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C249E0">
      <w:rPr>
        <w:rFonts w:ascii="Century Gothic" w:hAnsi="Century Gothic"/>
        <w:sz w:val="20"/>
        <w:szCs w:val="20"/>
      </w:rPr>
      <w:t xml:space="preserve">- Formularz </w:t>
    </w:r>
    <w:r w:rsidR="00A06B10" w:rsidRPr="00C249E0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26F9B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6C89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2909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49E0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734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10</cp:revision>
  <cp:lastPrinted>2017-04-05T10:47:00Z</cp:lastPrinted>
  <dcterms:created xsi:type="dcterms:W3CDTF">2023-05-05T05:43:00Z</dcterms:created>
  <dcterms:modified xsi:type="dcterms:W3CDTF">2024-10-30T09:34:00Z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