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A698" w14:textId="690494AD" w:rsidR="00D92206" w:rsidRPr="0008589A" w:rsidRDefault="00D92206" w:rsidP="001706D7">
      <w:pPr>
        <w:spacing w:after="0" w:line="360" w:lineRule="auto"/>
        <w:jc w:val="right"/>
        <w:rPr>
          <w:rFonts w:ascii="Century Gothic" w:hAnsi="Century Gothic"/>
          <w:b/>
          <w:sz w:val="20"/>
        </w:rPr>
      </w:pPr>
      <w:r w:rsidRPr="0008589A">
        <w:rPr>
          <w:rFonts w:ascii="Century Gothic" w:hAnsi="Century Gothic"/>
          <w:b/>
          <w:bCs/>
          <w:sz w:val="20"/>
        </w:rPr>
        <w:t xml:space="preserve">Appendix </w:t>
      </w:r>
      <w:r w:rsidR="003E2264">
        <w:rPr>
          <w:rFonts w:ascii="Century Gothic" w:hAnsi="Century Gothic"/>
          <w:b/>
          <w:bCs/>
          <w:sz w:val="20"/>
        </w:rPr>
        <w:t>1</w:t>
      </w:r>
      <w:r w:rsidRPr="0008589A">
        <w:rPr>
          <w:rFonts w:ascii="Century Gothic" w:hAnsi="Century Gothic"/>
          <w:b/>
          <w:bCs/>
          <w:sz w:val="20"/>
        </w:rPr>
        <w:t xml:space="preserve"> to ToR </w:t>
      </w:r>
    </w:p>
    <w:p w14:paraId="74F8CDB6" w14:textId="1FE1C31C" w:rsidR="00D92206" w:rsidRPr="0008589A" w:rsidRDefault="00D92206" w:rsidP="001706D7">
      <w:pPr>
        <w:spacing w:after="0" w:line="360" w:lineRule="auto"/>
        <w:jc w:val="center"/>
        <w:rPr>
          <w:rFonts w:ascii="Century Gothic" w:hAnsi="Century Gothic"/>
        </w:rPr>
      </w:pPr>
    </w:p>
    <w:p w14:paraId="3306BBAD" w14:textId="77777777" w:rsidR="00AD3FDF" w:rsidRPr="0008589A" w:rsidRDefault="00AD3FDF" w:rsidP="001706D7">
      <w:pPr>
        <w:spacing w:after="0" w:line="360" w:lineRule="auto"/>
        <w:jc w:val="center"/>
        <w:rPr>
          <w:rFonts w:ascii="Century Gothic" w:hAnsi="Century Gothic"/>
        </w:rPr>
      </w:pPr>
    </w:p>
    <w:p w14:paraId="07F8BDAD" w14:textId="71498C89" w:rsidR="007C65FC" w:rsidRPr="0008589A" w:rsidRDefault="00B726A4" w:rsidP="001706D7">
      <w:pPr>
        <w:spacing w:after="0" w:line="360" w:lineRule="auto"/>
        <w:jc w:val="center"/>
        <w:rPr>
          <w:rFonts w:ascii="Century Gothic" w:hAnsi="Century Gothic"/>
          <w:b/>
          <w:bCs/>
          <w:sz w:val="20"/>
          <w:szCs w:val="20"/>
        </w:rPr>
      </w:pPr>
      <w:r w:rsidRPr="0008589A">
        <w:rPr>
          <w:rFonts w:ascii="Century Gothic" w:hAnsi="Century Gothic"/>
          <w:b/>
          <w:bCs/>
          <w:sz w:val="20"/>
          <w:szCs w:val="20"/>
        </w:rPr>
        <w:t>DESCRIPTION OF THE SUBJECT OF THE CONTRACT</w:t>
      </w:r>
    </w:p>
    <w:p w14:paraId="2DA14BB2" w14:textId="245A9FA9" w:rsidR="00AD3FDF" w:rsidRPr="0008589A" w:rsidRDefault="00AD3FDF" w:rsidP="001706D7">
      <w:pPr>
        <w:spacing w:after="0" w:line="360" w:lineRule="auto"/>
        <w:jc w:val="center"/>
        <w:rPr>
          <w:rFonts w:ascii="Century Gothic" w:hAnsi="Century Gothic"/>
          <w:sz w:val="20"/>
          <w:szCs w:val="20"/>
        </w:rPr>
      </w:pPr>
    </w:p>
    <w:p w14:paraId="43ABD8A2" w14:textId="77777777" w:rsidR="00AD3FDF" w:rsidRPr="0008589A" w:rsidRDefault="00AD3FDF" w:rsidP="001706D7">
      <w:pPr>
        <w:spacing w:after="0" w:line="360" w:lineRule="auto"/>
        <w:jc w:val="center"/>
        <w:rPr>
          <w:rFonts w:ascii="Century Gothic" w:hAnsi="Century Gothic"/>
          <w:sz w:val="20"/>
          <w:szCs w:val="20"/>
        </w:rPr>
      </w:pPr>
    </w:p>
    <w:p w14:paraId="6C914161" w14:textId="77777777" w:rsidR="003B6DD3" w:rsidRPr="0008589A" w:rsidRDefault="00B726A4" w:rsidP="00116BED">
      <w:pPr>
        <w:pStyle w:val="Akapitzlist"/>
        <w:numPr>
          <w:ilvl w:val="0"/>
          <w:numId w:val="7"/>
        </w:numPr>
        <w:spacing w:after="0" w:line="360" w:lineRule="auto"/>
        <w:ind w:left="425" w:hanging="425"/>
        <w:jc w:val="both"/>
        <w:rPr>
          <w:rFonts w:ascii="Century Gothic" w:hAnsi="Century Gothic"/>
          <w:b/>
          <w:sz w:val="20"/>
          <w:szCs w:val="20"/>
        </w:rPr>
      </w:pPr>
      <w:r w:rsidRPr="0008589A">
        <w:rPr>
          <w:rFonts w:ascii="Century Gothic" w:hAnsi="Century Gothic"/>
          <w:b/>
          <w:bCs/>
          <w:sz w:val="20"/>
          <w:szCs w:val="20"/>
        </w:rPr>
        <w:t xml:space="preserve">Subject of the Contract: </w:t>
      </w:r>
    </w:p>
    <w:p w14:paraId="1B861489" w14:textId="5084B805" w:rsidR="00B726A4" w:rsidRPr="0008589A" w:rsidRDefault="00EF4B4C" w:rsidP="00116BED">
      <w:pPr>
        <w:spacing w:after="0" w:line="360" w:lineRule="auto"/>
        <w:ind w:left="426"/>
        <w:jc w:val="both"/>
        <w:rPr>
          <w:rFonts w:ascii="Century Gothic" w:hAnsi="Century Gothic"/>
          <w:sz w:val="20"/>
          <w:szCs w:val="20"/>
        </w:rPr>
      </w:pPr>
      <w:r w:rsidRPr="0008589A">
        <w:rPr>
          <w:rFonts w:ascii="Century Gothic" w:hAnsi="Century Gothic"/>
          <w:sz w:val="20"/>
          <w:szCs w:val="20"/>
        </w:rPr>
        <w:t xml:space="preserve">The Subject of the Contract is the provision of balancing services at </w:t>
      </w:r>
      <w:r w:rsidR="00A4177A" w:rsidRPr="0008589A">
        <w:rPr>
          <w:rFonts w:ascii="Century Gothic" w:hAnsi="Century Gothic"/>
          <w:sz w:val="20"/>
          <w:szCs w:val="20"/>
        </w:rPr>
        <w:t>Branice</w:t>
      </w:r>
      <w:r w:rsidRPr="0008589A">
        <w:rPr>
          <w:rFonts w:ascii="Century Gothic" w:hAnsi="Century Gothic"/>
          <w:sz w:val="20"/>
          <w:szCs w:val="20"/>
        </w:rPr>
        <w:t xml:space="preserve"> entry point</w:t>
      </w:r>
      <w:r w:rsidR="00A4177A">
        <w:rPr>
          <w:rFonts w:ascii="Century Gothic" w:hAnsi="Century Gothic"/>
          <w:sz w:val="20"/>
          <w:szCs w:val="20"/>
        </w:rPr>
        <w:t xml:space="preserve"> </w:t>
      </w:r>
      <w:r w:rsidR="00A4177A" w:rsidRPr="0008589A">
        <w:rPr>
          <w:rFonts w:ascii="Century Gothic" w:hAnsi="Century Gothic"/>
          <w:sz w:val="20"/>
          <w:szCs w:val="20"/>
        </w:rPr>
        <w:t>(ID 372414)</w:t>
      </w:r>
      <w:r w:rsidRPr="0008589A">
        <w:rPr>
          <w:rFonts w:ascii="Century Gothic" w:hAnsi="Century Gothic"/>
          <w:sz w:val="20"/>
          <w:szCs w:val="20"/>
        </w:rPr>
        <w:t xml:space="preserve"> to the transmission system between 1 October 202</w:t>
      </w:r>
      <w:r w:rsidR="00A4177A">
        <w:rPr>
          <w:rFonts w:ascii="Century Gothic" w:hAnsi="Century Gothic"/>
          <w:sz w:val="20"/>
          <w:szCs w:val="20"/>
        </w:rPr>
        <w:t>4</w:t>
      </w:r>
      <w:r w:rsidRPr="0008589A">
        <w:rPr>
          <w:rFonts w:ascii="Century Gothic" w:hAnsi="Century Gothic"/>
          <w:sz w:val="20"/>
          <w:szCs w:val="20"/>
        </w:rPr>
        <w:t xml:space="preserve"> at 06:00 a.m. and 1 October 202</w:t>
      </w:r>
      <w:r w:rsidR="00A4177A">
        <w:rPr>
          <w:rFonts w:ascii="Century Gothic" w:hAnsi="Century Gothic"/>
          <w:sz w:val="20"/>
          <w:szCs w:val="20"/>
        </w:rPr>
        <w:t>5</w:t>
      </w:r>
      <w:r w:rsidRPr="0008589A">
        <w:rPr>
          <w:rFonts w:ascii="Century Gothic" w:hAnsi="Century Gothic"/>
          <w:sz w:val="20"/>
          <w:szCs w:val="20"/>
        </w:rPr>
        <w:t xml:space="preserve"> at 6:00 am.</w:t>
      </w:r>
    </w:p>
    <w:p w14:paraId="01CE8DA3" w14:textId="55A67857" w:rsidR="00B726A4" w:rsidRPr="0008589A" w:rsidRDefault="00A4177A" w:rsidP="00116BED">
      <w:pPr>
        <w:spacing w:after="0" w:line="360" w:lineRule="auto"/>
        <w:ind w:left="426"/>
        <w:jc w:val="both"/>
        <w:rPr>
          <w:rFonts w:ascii="Century Gothic" w:hAnsi="Century Gothic"/>
          <w:sz w:val="20"/>
          <w:szCs w:val="20"/>
        </w:rPr>
      </w:pPr>
      <w:r>
        <w:rPr>
          <w:rFonts w:ascii="Century Gothic" w:hAnsi="Century Gothic"/>
          <w:sz w:val="20"/>
          <w:szCs w:val="20"/>
        </w:rPr>
        <w:t>The b</w:t>
      </w:r>
      <w:r w:rsidR="00B726A4" w:rsidRPr="0008589A">
        <w:rPr>
          <w:rFonts w:ascii="Century Gothic" w:hAnsi="Century Gothic"/>
          <w:sz w:val="20"/>
          <w:szCs w:val="20"/>
        </w:rPr>
        <w:t xml:space="preserve">alancing services shall be provided pursuant to Article 8 of the Commission Regulation (EU) No. 312/2014 of 26 March 2014 establishing a </w:t>
      </w:r>
      <w:r>
        <w:rPr>
          <w:rFonts w:ascii="Century Gothic" w:hAnsi="Century Gothic"/>
          <w:sz w:val="20"/>
          <w:szCs w:val="20"/>
        </w:rPr>
        <w:t>N</w:t>
      </w:r>
      <w:r w:rsidR="00B726A4" w:rsidRPr="0008589A">
        <w:rPr>
          <w:rFonts w:ascii="Century Gothic" w:hAnsi="Century Gothic"/>
          <w:sz w:val="20"/>
          <w:szCs w:val="20"/>
        </w:rPr>
        <w:t xml:space="preserve">etwork </w:t>
      </w:r>
      <w:r w:rsidR="00AF1CF3">
        <w:rPr>
          <w:rFonts w:ascii="Century Gothic" w:hAnsi="Century Gothic"/>
          <w:sz w:val="20"/>
          <w:szCs w:val="20"/>
        </w:rPr>
        <w:t>C</w:t>
      </w:r>
      <w:r w:rsidR="00B726A4" w:rsidRPr="0008589A">
        <w:rPr>
          <w:rFonts w:ascii="Century Gothic" w:hAnsi="Century Gothic"/>
          <w:sz w:val="20"/>
          <w:szCs w:val="20"/>
        </w:rPr>
        <w:t xml:space="preserve">ode on </w:t>
      </w:r>
      <w:r w:rsidR="00AF1CF3">
        <w:rPr>
          <w:rFonts w:ascii="Century Gothic" w:hAnsi="Century Gothic"/>
          <w:sz w:val="20"/>
          <w:szCs w:val="20"/>
        </w:rPr>
        <w:t>G</w:t>
      </w:r>
      <w:r w:rsidR="00B726A4" w:rsidRPr="0008589A">
        <w:rPr>
          <w:rFonts w:ascii="Century Gothic" w:hAnsi="Century Gothic"/>
          <w:sz w:val="20"/>
          <w:szCs w:val="20"/>
        </w:rPr>
        <w:t xml:space="preserve">as </w:t>
      </w:r>
      <w:r w:rsidR="00AF1CF3">
        <w:rPr>
          <w:rFonts w:ascii="Century Gothic" w:hAnsi="Century Gothic"/>
          <w:sz w:val="20"/>
          <w:szCs w:val="20"/>
        </w:rPr>
        <w:t>B</w:t>
      </w:r>
      <w:r w:rsidR="00B726A4" w:rsidRPr="0008589A">
        <w:rPr>
          <w:rFonts w:ascii="Century Gothic" w:hAnsi="Century Gothic"/>
          <w:sz w:val="20"/>
          <w:szCs w:val="20"/>
        </w:rPr>
        <w:t xml:space="preserve">alancing in </w:t>
      </w:r>
      <w:r w:rsidR="00AF1CF3">
        <w:rPr>
          <w:rFonts w:ascii="Century Gothic" w:hAnsi="Century Gothic"/>
          <w:sz w:val="20"/>
          <w:szCs w:val="20"/>
        </w:rPr>
        <w:t>T</w:t>
      </w:r>
      <w:r w:rsidR="00B726A4" w:rsidRPr="0008589A">
        <w:rPr>
          <w:rFonts w:ascii="Century Gothic" w:hAnsi="Century Gothic"/>
          <w:sz w:val="20"/>
          <w:szCs w:val="20"/>
        </w:rPr>
        <w:t xml:space="preserve">ransmission </w:t>
      </w:r>
      <w:r w:rsidR="00AF1CF3">
        <w:rPr>
          <w:rFonts w:ascii="Century Gothic" w:hAnsi="Century Gothic"/>
          <w:sz w:val="20"/>
          <w:szCs w:val="20"/>
        </w:rPr>
        <w:t>N</w:t>
      </w:r>
      <w:r w:rsidR="00B726A4" w:rsidRPr="0008589A">
        <w:rPr>
          <w:rFonts w:ascii="Century Gothic" w:hAnsi="Century Gothic"/>
          <w:sz w:val="20"/>
          <w:szCs w:val="20"/>
        </w:rPr>
        <w:t>etworks.</w:t>
      </w:r>
    </w:p>
    <w:p w14:paraId="6C1C4CBA" w14:textId="110D1FF3" w:rsidR="0054333D" w:rsidRPr="0008589A" w:rsidRDefault="00AF1CF3" w:rsidP="00116BED">
      <w:pPr>
        <w:spacing w:after="0" w:line="360" w:lineRule="auto"/>
        <w:ind w:left="426"/>
        <w:jc w:val="both"/>
        <w:rPr>
          <w:rFonts w:ascii="Century Gothic" w:hAnsi="Century Gothic"/>
          <w:sz w:val="20"/>
          <w:szCs w:val="20"/>
        </w:rPr>
      </w:pPr>
      <w:r>
        <w:rPr>
          <w:rFonts w:ascii="Century Gothic" w:hAnsi="Century Gothic"/>
          <w:sz w:val="20"/>
          <w:szCs w:val="20"/>
        </w:rPr>
        <w:t>The b</w:t>
      </w:r>
      <w:r w:rsidR="00B84794" w:rsidRPr="0008589A">
        <w:rPr>
          <w:rFonts w:ascii="Century Gothic" w:hAnsi="Century Gothic"/>
          <w:sz w:val="20"/>
          <w:szCs w:val="20"/>
        </w:rPr>
        <w:t xml:space="preserve">alancing services shall involve the supply of high-methane gas from Group </w:t>
      </w:r>
      <w:proofErr w:type="spellStart"/>
      <w:r w:rsidR="00B84794" w:rsidRPr="0008589A">
        <w:rPr>
          <w:rFonts w:ascii="Century Gothic" w:hAnsi="Century Gothic"/>
          <w:sz w:val="20"/>
          <w:szCs w:val="20"/>
        </w:rPr>
        <w:t>E at</w:t>
      </w:r>
      <w:proofErr w:type="spellEnd"/>
      <w:r w:rsidR="00B84794" w:rsidRPr="0008589A">
        <w:rPr>
          <w:rFonts w:ascii="Century Gothic" w:hAnsi="Century Gothic"/>
          <w:sz w:val="20"/>
          <w:szCs w:val="20"/>
        </w:rPr>
        <w:t xml:space="preserve"> </w:t>
      </w:r>
      <w:proofErr w:type="spellStart"/>
      <w:r w:rsidRPr="0008589A">
        <w:rPr>
          <w:rFonts w:ascii="Century Gothic" w:hAnsi="Century Gothic"/>
          <w:sz w:val="20"/>
          <w:szCs w:val="20"/>
        </w:rPr>
        <w:t>Branice</w:t>
      </w:r>
      <w:proofErr w:type="spellEnd"/>
      <w:r w:rsidR="00B84794" w:rsidRPr="0008589A">
        <w:rPr>
          <w:rFonts w:ascii="Century Gothic" w:hAnsi="Century Gothic"/>
          <w:sz w:val="20"/>
          <w:szCs w:val="20"/>
        </w:rPr>
        <w:t xml:space="preserve"> entry</w:t>
      </w:r>
      <w:r w:rsidR="000D1740">
        <w:rPr>
          <w:rFonts w:ascii="Century Gothic" w:hAnsi="Century Gothic"/>
          <w:sz w:val="20"/>
          <w:szCs w:val="20"/>
        </w:rPr>
        <w:t xml:space="preserve"> point</w:t>
      </w:r>
      <w:r w:rsidR="00B84794" w:rsidRPr="0008589A">
        <w:rPr>
          <w:rFonts w:ascii="Century Gothic" w:hAnsi="Century Gothic"/>
          <w:sz w:val="20"/>
          <w:szCs w:val="20"/>
        </w:rPr>
        <w:t xml:space="preserve"> </w:t>
      </w:r>
      <w:r>
        <w:rPr>
          <w:rFonts w:ascii="Century Gothic" w:hAnsi="Century Gothic"/>
          <w:sz w:val="20"/>
          <w:szCs w:val="20"/>
        </w:rPr>
        <w:t xml:space="preserve"> </w:t>
      </w:r>
      <w:r w:rsidRPr="0008589A">
        <w:rPr>
          <w:rFonts w:ascii="Century Gothic" w:hAnsi="Century Gothic"/>
          <w:sz w:val="20"/>
          <w:szCs w:val="20"/>
        </w:rPr>
        <w:t xml:space="preserve">(ID 372414)  </w:t>
      </w:r>
      <w:r w:rsidR="00B84794" w:rsidRPr="0008589A">
        <w:rPr>
          <w:rFonts w:ascii="Century Gothic" w:hAnsi="Century Gothic"/>
          <w:sz w:val="20"/>
          <w:szCs w:val="20"/>
        </w:rPr>
        <w:t>to the transmission system between 1 October 202</w:t>
      </w:r>
      <w:r>
        <w:rPr>
          <w:rFonts w:ascii="Century Gothic" w:hAnsi="Century Gothic"/>
          <w:sz w:val="20"/>
          <w:szCs w:val="20"/>
        </w:rPr>
        <w:t>4</w:t>
      </w:r>
      <w:r w:rsidR="00B84794" w:rsidRPr="0008589A">
        <w:rPr>
          <w:rFonts w:ascii="Century Gothic" w:hAnsi="Century Gothic"/>
          <w:sz w:val="20"/>
          <w:szCs w:val="20"/>
        </w:rPr>
        <w:t xml:space="preserve"> at 06:00 a.m. and 1 October 202</w:t>
      </w:r>
      <w:r>
        <w:rPr>
          <w:rFonts w:ascii="Century Gothic" w:hAnsi="Century Gothic"/>
          <w:sz w:val="20"/>
          <w:szCs w:val="20"/>
        </w:rPr>
        <w:t>5</w:t>
      </w:r>
      <w:r w:rsidR="00B84794" w:rsidRPr="0008589A">
        <w:rPr>
          <w:rFonts w:ascii="Century Gothic" w:hAnsi="Century Gothic"/>
          <w:sz w:val="20"/>
          <w:szCs w:val="20"/>
        </w:rPr>
        <w:t xml:space="preserve"> at 06:00 a.m., in </w:t>
      </w:r>
      <w:r>
        <w:rPr>
          <w:rFonts w:ascii="Century Gothic" w:hAnsi="Century Gothic"/>
          <w:sz w:val="20"/>
          <w:szCs w:val="20"/>
        </w:rPr>
        <w:t>quantitie</w:t>
      </w:r>
      <w:r w:rsidRPr="0008589A">
        <w:rPr>
          <w:rFonts w:ascii="Century Gothic" w:hAnsi="Century Gothic"/>
          <w:sz w:val="20"/>
          <w:szCs w:val="20"/>
        </w:rPr>
        <w:t xml:space="preserve">s </w:t>
      </w:r>
      <w:r w:rsidR="00B84794" w:rsidRPr="0008589A">
        <w:rPr>
          <w:rFonts w:ascii="Century Gothic" w:hAnsi="Century Gothic"/>
          <w:sz w:val="20"/>
          <w:szCs w:val="20"/>
        </w:rPr>
        <w:t>resulting from the demand of end customers connected to the gas system in the region supplied from this entry point.</w:t>
      </w:r>
    </w:p>
    <w:p w14:paraId="14B8635A" w14:textId="77777777" w:rsidR="0054333D" w:rsidRPr="0008589A" w:rsidRDefault="003B6DD3" w:rsidP="00116BED">
      <w:pPr>
        <w:pStyle w:val="Akapitzlist"/>
        <w:numPr>
          <w:ilvl w:val="0"/>
          <w:numId w:val="7"/>
        </w:numPr>
        <w:spacing w:after="0" w:line="360" w:lineRule="auto"/>
        <w:ind w:left="426" w:hanging="426"/>
        <w:jc w:val="both"/>
        <w:rPr>
          <w:rFonts w:ascii="Century Gothic" w:hAnsi="Century Gothic"/>
          <w:b/>
          <w:sz w:val="20"/>
          <w:szCs w:val="20"/>
        </w:rPr>
      </w:pPr>
      <w:r w:rsidRPr="0008589A">
        <w:rPr>
          <w:rFonts w:ascii="Century Gothic" w:hAnsi="Century Gothic"/>
          <w:b/>
          <w:bCs/>
          <w:sz w:val="20"/>
          <w:szCs w:val="20"/>
        </w:rPr>
        <w:t xml:space="preserve">Conditions for the provision of balancing services: </w:t>
      </w:r>
    </w:p>
    <w:p w14:paraId="00C82DC5" w14:textId="54687AE1" w:rsidR="0054333D" w:rsidRPr="0008589A" w:rsidRDefault="00B60EA5"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t>For each gas day during the period when balancing services are provided, in which the sum of nominations submitted by the Shippers at</w:t>
      </w:r>
      <w:r w:rsidR="000D1740">
        <w:rPr>
          <w:rFonts w:ascii="Century Gothic" w:hAnsi="Century Gothic"/>
          <w:sz w:val="20"/>
          <w:szCs w:val="20"/>
        </w:rPr>
        <w:t xml:space="preserve"> </w:t>
      </w:r>
      <w:r w:rsidRPr="0008589A">
        <w:rPr>
          <w:rFonts w:ascii="Century Gothic" w:hAnsi="Century Gothic"/>
          <w:sz w:val="20"/>
          <w:szCs w:val="20"/>
        </w:rPr>
        <w:t xml:space="preserve">Branice entry point (ID 372414) is different from 0, the performance of the balancing service shall be 0. The Contractor shall receive a readiness fee for this gas day. The </w:t>
      </w:r>
      <w:r w:rsidR="00AF1CF3">
        <w:rPr>
          <w:rFonts w:ascii="Century Gothic" w:hAnsi="Century Gothic"/>
          <w:sz w:val="20"/>
          <w:szCs w:val="20"/>
        </w:rPr>
        <w:t>Contract</w:t>
      </w:r>
      <w:r w:rsidR="00AF1CF3" w:rsidRPr="0008589A">
        <w:rPr>
          <w:rFonts w:ascii="Century Gothic" w:hAnsi="Century Gothic"/>
          <w:sz w:val="20"/>
          <w:szCs w:val="20"/>
        </w:rPr>
        <w:t xml:space="preserve"> </w:t>
      </w:r>
      <w:r w:rsidRPr="0008589A">
        <w:rPr>
          <w:rFonts w:ascii="Century Gothic" w:hAnsi="Century Gothic"/>
          <w:sz w:val="20"/>
          <w:szCs w:val="20"/>
        </w:rPr>
        <w:t xml:space="preserve">shall specify the </w:t>
      </w:r>
      <w:r w:rsidR="00AF1CF3">
        <w:rPr>
          <w:rFonts w:ascii="Century Gothic" w:hAnsi="Century Gothic"/>
          <w:sz w:val="20"/>
          <w:szCs w:val="20"/>
        </w:rPr>
        <w:t>fee</w:t>
      </w:r>
      <w:r w:rsidR="00AF1CF3" w:rsidRPr="0008589A">
        <w:rPr>
          <w:rFonts w:ascii="Century Gothic" w:hAnsi="Century Gothic"/>
          <w:sz w:val="20"/>
          <w:szCs w:val="20"/>
        </w:rPr>
        <w:t xml:space="preserve"> </w:t>
      </w:r>
      <w:r w:rsidRPr="0008589A">
        <w:rPr>
          <w:rFonts w:ascii="Century Gothic" w:hAnsi="Century Gothic"/>
          <w:sz w:val="20"/>
          <w:szCs w:val="20"/>
        </w:rPr>
        <w:t>for readiness, expressed in PLN/gas day.</w:t>
      </w:r>
    </w:p>
    <w:p w14:paraId="1A908947" w14:textId="29D5EE7F" w:rsidR="00B60EA5" w:rsidRPr="0008589A" w:rsidRDefault="00B60EA5"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t xml:space="preserve">For each gas day during the period when balancing services are provided, in which the sum of nominations submitted by the Shippers at the Branice entry point (ID 372414) is equal to 0, the performance of the balancing service shall correspond to the actual execution of the transmission, i.e. shall </w:t>
      </w:r>
      <w:r w:rsidR="00AF1CF3">
        <w:rPr>
          <w:rFonts w:ascii="Century Gothic" w:hAnsi="Century Gothic"/>
          <w:sz w:val="20"/>
          <w:szCs w:val="20"/>
        </w:rPr>
        <w:t xml:space="preserve">be </w:t>
      </w:r>
      <w:r w:rsidRPr="0008589A">
        <w:rPr>
          <w:rFonts w:ascii="Century Gothic" w:hAnsi="Century Gothic"/>
          <w:sz w:val="20"/>
          <w:szCs w:val="20"/>
        </w:rPr>
        <w:t xml:space="preserve">equal to the </w:t>
      </w:r>
      <w:r w:rsidR="000D1740">
        <w:rPr>
          <w:rFonts w:ascii="Century Gothic" w:hAnsi="Century Gothic"/>
          <w:sz w:val="20"/>
          <w:szCs w:val="20"/>
        </w:rPr>
        <w:t>quantities</w:t>
      </w:r>
      <w:r w:rsidR="00F24152" w:rsidRPr="0008589A">
        <w:rPr>
          <w:rFonts w:ascii="Century Gothic" w:hAnsi="Century Gothic"/>
          <w:sz w:val="20"/>
          <w:szCs w:val="20"/>
        </w:rPr>
        <w:t xml:space="preserve"> </w:t>
      </w:r>
      <w:r w:rsidRPr="0008589A">
        <w:rPr>
          <w:rFonts w:ascii="Century Gothic" w:hAnsi="Century Gothic"/>
          <w:sz w:val="20"/>
          <w:szCs w:val="20"/>
        </w:rPr>
        <w:t>of gas</w:t>
      </w:r>
      <w:r w:rsidR="00F24152">
        <w:rPr>
          <w:rFonts w:ascii="Century Gothic" w:hAnsi="Century Gothic"/>
          <w:sz w:val="20"/>
          <w:szCs w:val="20"/>
        </w:rPr>
        <w:t>eous</w:t>
      </w:r>
      <w:r w:rsidRPr="0008589A">
        <w:rPr>
          <w:rFonts w:ascii="Century Gothic" w:hAnsi="Century Gothic"/>
          <w:sz w:val="20"/>
          <w:szCs w:val="20"/>
        </w:rPr>
        <w:t xml:space="preserve"> fuel sent at </w:t>
      </w:r>
      <w:r w:rsidR="00F24152" w:rsidRPr="0008589A">
        <w:rPr>
          <w:rFonts w:ascii="Century Gothic" w:hAnsi="Century Gothic"/>
          <w:sz w:val="20"/>
          <w:szCs w:val="20"/>
        </w:rPr>
        <w:t>Branice</w:t>
      </w:r>
      <w:r w:rsidRPr="0008589A">
        <w:rPr>
          <w:rFonts w:ascii="Century Gothic" w:hAnsi="Century Gothic"/>
          <w:sz w:val="20"/>
          <w:szCs w:val="20"/>
        </w:rPr>
        <w:t xml:space="preserve"> entry point</w:t>
      </w:r>
      <w:r w:rsidR="00F24152">
        <w:rPr>
          <w:rFonts w:ascii="Century Gothic" w:hAnsi="Century Gothic"/>
          <w:sz w:val="20"/>
          <w:szCs w:val="20"/>
        </w:rPr>
        <w:t xml:space="preserve"> </w:t>
      </w:r>
      <w:r w:rsidR="00F24152" w:rsidRPr="0008589A">
        <w:rPr>
          <w:rFonts w:ascii="Century Gothic" w:hAnsi="Century Gothic"/>
          <w:sz w:val="20"/>
          <w:szCs w:val="20"/>
        </w:rPr>
        <w:t>(ID 372414)</w:t>
      </w:r>
      <w:r w:rsidRPr="0008589A">
        <w:rPr>
          <w:rFonts w:ascii="Century Gothic" w:hAnsi="Century Gothic"/>
          <w:sz w:val="20"/>
          <w:szCs w:val="20"/>
        </w:rPr>
        <w:t xml:space="preserve"> to the transmission system, determined on the basis of the measurement. The </w:t>
      </w:r>
      <w:r w:rsidR="00F24152">
        <w:rPr>
          <w:rFonts w:ascii="Century Gothic" w:hAnsi="Century Gothic"/>
          <w:sz w:val="20"/>
          <w:szCs w:val="20"/>
        </w:rPr>
        <w:t>Contract</w:t>
      </w:r>
      <w:r w:rsidR="00F24152" w:rsidRPr="0008589A">
        <w:rPr>
          <w:rFonts w:ascii="Century Gothic" w:hAnsi="Century Gothic"/>
          <w:sz w:val="20"/>
          <w:szCs w:val="20"/>
        </w:rPr>
        <w:t xml:space="preserve"> </w:t>
      </w:r>
      <w:r w:rsidRPr="0008589A">
        <w:rPr>
          <w:rFonts w:ascii="Century Gothic" w:hAnsi="Century Gothic"/>
          <w:sz w:val="20"/>
          <w:szCs w:val="20"/>
        </w:rPr>
        <w:t xml:space="preserve">shall specify the </w:t>
      </w:r>
      <w:r w:rsidR="00F24152">
        <w:rPr>
          <w:rFonts w:ascii="Century Gothic" w:hAnsi="Century Gothic"/>
          <w:sz w:val="20"/>
          <w:szCs w:val="20"/>
        </w:rPr>
        <w:t>fee</w:t>
      </w:r>
      <w:r w:rsidR="00F24152" w:rsidRPr="0008589A">
        <w:rPr>
          <w:rFonts w:ascii="Century Gothic" w:hAnsi="Century Gothic"/>
          <w:sz w:val="20"/>
          <w:szCs w:val="20"/>
        </w:rPr>
        <w:t xml:space="preserve"> </w:t>
      </w:r>
      <w:r w:rsidRPr="0008589A">
        <w:rPr>
          <w:rFonts w:ascii="Century Gothic" w:hAnsi="Century Gothic"/>
          <w:sz w:val="20"/>
          <w:szCs w:val="20"/>
        </w:rPr>
        <w:t xml:space="preserve">for </w:t>
      </w:r>
      <w:r w:rsidR="000D1740">
        <w:rPr>
          <w:rFonts w:ascii="Century Gothic" w:hAnsi="Century Gothic"/>
          <w:sz w:val="20"/>
          <w:szCs w:val="20"/>
        </w:rPr>
        <w:t>gas transmission</w:t>
      </w:r>
      <w:r w:rsidRPr="0008589A">
        <w:rPr>
          <w:rFonts w:ascii="Century Gothic" w:hAnsi="Century Gothic"/>
          <w:sz w:val="20"/>
          <w:szCs w:val="20"/>
        </w:rPr>
        <w:t xml:space="preserve">, expressed in </w:t>
      </w:r>
      <w:r w:rsidR="00F24152">
        <w:rPr>
          <w:rFonts w:ascii="Century Gothic" w:hAnsi="Century Gothic"/>
          <w:sz w:val="20"/>
          <w:szCs w:val="20"/>
        </w:rPr>
        <w:t>PLN</w:t>
      </w:r>
      <w:r w:rsidRPr="0008589A">
        <w:rPr>
          <w:rFonts w:ascii="Century Gothic" w:hAnsi="Century Gothic"/>
          <w:sz w:val="20"/>
          <w:szCs w:val="20"/>
        </w:rPr>
        <w:t>/kWh.</w:t>
      </w:r>
    </w:p>
    <w:p w14:paraId="35EF30CD" w14:textId="2B5E631F" w:rsidR="0086775E" w:rsidRPr="0008589A" w:rsidRDefault="0086775E"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t>If the Contractor has a capacity allocation at Branice entry point (ID 372414) and submits a nomination for a given gas day, it shall not be entitled to the readiness fee for that gas day. I</w:t>
      </w:r>
      <w:r w:rsidR="00F24152">
        <w:rPr>
          <w:rFonts w:ascii="Century Gothic" w:hAnsi="Century Gothic"/>
          <w:sz w:val="20"/>
          <w:szCs w:val="20"/>
        </w:rPr>
        <w:t>n</w:t>
      </w:r>
      <w:r w:rsidRPr="0008589A">
        <w:rPr>
          <w:rFonts w:ascii="Century Gothic" w:hAnsi="Century Gothic"/>
          <w:sz w:val="20"/>
          <w:szCs w:val="20"/>
        </w:rPr>
        <w:t xml:space="preserve"> this is the case, the performance of the balancing service shall be</w:t>
      </w:r>
      <w:r w:rsidR="00F24152">
        <w:rPr>
          <w:rFonts w:ascii="Century Gothic" w:hAnsi="Century Gothic"/>
          <w:sz w:val="20"/>
          <w:szCs w:val="20"/>
        </w:rPr>
        <w:t> </w:t>
      </w:r>
      <w:r w:rsidRPr="0008589A">
        <w:rPr>
          <w:rFonts w:ascii="Century Gothic" w:hAnsi="Century Gothic"/>
          <w:sz w:val="20"/>
          <w:szCs w:val="20"/>
        </w:rPr>
        <w:t>0.</w:t>
      </w:r>
    </w:p>
    <w:p w14:paraId="342FFCCE" w14:textId="3BCD80DB" w:rsidR="0071200B" w:rsidRPr="0008589A" w:rsidRDefault="00F24152"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Pr>
          <w:rFonts w:ascii="Century Gothic" w:hAnsi="Century Gothic"/>
          <w:sz w:val="20"/>
          <w:szCs w:val="20"/>
        </w:rPr>
        <w:t>The e</w:t>
      </w:r>
      <w:r w:rsidR="0071200B" w:rsidRPr="0008589A">
        <w:rPr>
          <w:rFonts w:ascii="Century Gothic" w:hAnsi="Century Gothic"/>
          <w:sz w:val="20"/>
          <w:szCs w:val="20"/>
        </w:rPr>
        <w:t>stimated gas demand in the region supplied from Branice entry point (ID 372414) between 1 October 202</w:t>
      </w:r>
      <w:r>
        <w:rPr>
          <w:rFonts w:ascii="Century Gothic" w:hAnsi="Century Gothic"/>
          <w:sz w:val="20"/>
          <w:szCs w:val="20"/>
        </w:rPr>
        <w:t>4</w:t>
      </w:r>
      <w:r w:rsidR="0071200B" w:rsidRPr="0008589A">
        <w:rPr>
          <w:rFonts w:ascii="Century Gothic" w:hAnsi="Century Gothic"/>
          <w:sz w:val="20"/>
          <w:szCs w:val="20"/>
        </w:rPr>
        <w:t xml:space="preserve"> at 06:00 a.m. and 1 October 202</w:t>
      </w:r>
      <w:r>
        <w:rPr>
          <w:rFonts w:ascii="Century Gothic" w:hAnsi="Century Gothic"/>
          <w:sz w:val="20"/>
          <w:szCs w:val="20"/>
        </w:rPr>
        <w:t>5</w:t>
      </w:r>
      <w:r w:rsidR="0071200B" w:rsidRPr="0008589A">
        <w:rPr>
          <w:rFonts w:ascii="Century Gothic" w:hAnsi="Century Gothic"/>
          <w:sz w:val="20"/>
          <w:szCs w:val="20"/>
        </w:rPr>
        <w:t xml:space="preserve"> at 06:00 a.m. is </w:t>
      </w:r>
      <w:r>
        <w:rPr>
          <w:rFonts w:ascii="Century Gothic" w:hAnsi="Century Gothic"/>
          <w:sz w:val="20"/>
          <w:szCs w:val="20"/>
        </w:rPr>
        <w:t>6</w:t>
      </w:r>
      <w:r w:rsidR="0071200B" w:rsidRPr="0008589A">
        <w:rPr>
          <w:rFonts w:ascii="Century Gothic" w:hAnsi="Century Gothic"/>
          <w:sz w:val="20"/>
          <w:szCs w:val="20"/>
        </w:rPr>
        <w:t>,</w:t>
      </w:r>
      <w:r>
        <w:rPr>
          <w:rFonts w:ascii="Century Gothic" w:hAnsi="Century Gothic"/>
          <w:sz w:val="20"/>
          <w:szCs w:val="20"/>
        </w:rPr>
        <w:t>0</w:t>
      </w:r>
      <w:r w:rsidR="0071200B" w:rsidRPr="0008589A">
        <w:rPr>
          <w:rFonts w:ascii="Century Gothic" w:hAnsi="Century Gothic"/>
          <w:sz w:val="20"/>
          <w:szCs w:val="20"/>
        </w:rPr>
        <w:t>00,000 kWh.</w:t>
      </w:r>
    </w:p>
    <w:p w14:paraId="30024234" w14:textId="35B4F48F" w:rsidR="0071200B" w:rsidRPr="0008589A" w:rsidRDefault="002F1996"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lastRenderedPageBreak/>
        <w:t xml:space="preserve">An example of the characteristics of the daily gas transmission at Branice </w:t>
      </w:r>
      <w:r w:rsidR="00F24152">
        <w:rPr>
          <w:rFonts w:ascii="Century Gothic" w:hAnsi="Century Gothic"/>
          <w:sz w:val="20"/>
          <w:szCs w:val="20"/>
        </w:rPr>
        <w:t xml:space="preserve">entry </w:t>
      </w:r>
      <w:r w:rsidRPr="0008589A">
        <w:rPr>
          <w:rFonts w:ascii="Century Gothic" w:hAnsi="Century Gothic"/>
          <w:sz w:val="20"/>
          <w:szCs w:val="20"/>
        </w:rPr>
        <w:t>point (ID 372414) based on historical data (between 1 October 20</w:t>
      </w:r>
      <w:r w:rsidR="00741599">
        <w:rPr>
          <w:rFonts w:ascii="Century Gothic" w:hAnsi="Century Gothic"/>
          <w:sz w:val="20"/>
          <w:szCs w:val="20"/>
        </w:rPr>
        <w:t>2</w:t>
      </w:r>
      <w:r w:rsidR="00F24152">
        <w:rPr>
          <w:rFonts w:ascii="Century Gothic" w:hAnsi="Century Gothic"/>
          <w:sz w:val="20"/>
          <w:szCs w:val="20"/>
        </w:rPr>
        <w:t>1</w:t>
      </w:r>
      <w:r w:rsidRPr="0008589A">
        <w:rPr>
          <w:rFonts w:ascii="Century Gothic" w:hAnsi="Century Gothic"/>
          <w:sz w:val="20"/>
          <w:szCs w:val="20"/>
        </w:rPr>
        <w:t xml:space="preserve"> and 31 May 202</w:t>
      </w:r>
      <w:r w:rsidR="00F24152">
        <w:rPr>
          <w:rFonts w:ascii="Century Gothic" w:hAnsi="Century Gothic"/>
          <w:sz w:val="20"/>
          <w:szCs w:val="20"/>
        </w:rPr>
        <w:t>4</w:t>
      </w:r>
      <w:r w:rsidRPr="0008589A">
        <w:rPr>
          <w:rFonts w:ascii="Century Gothic" w:hAnsi="Century Gothic"/>
          <w:sz w:val="20"/>
          <w:szCs w:val="20"/>
        </w:rPr>
        <w:t>) is presented in Appendix 1</w:t>
      </w:r>
      <w:r w:rsidR="00582A17">
        <w:rPr>
          <w:rFonts w:ascii="Century Gothic" w:hAnsi="Century Gothic"/>
          <w:sz w:val="20"/>
          <w:szCs w:val="20"/>
        </w:rPr>
        <w:t xml:space="preserve"> hereto</w:t>
      </w:r>
      <w:r w:rsidRPr="0008589A">
        <w:rPr>
          <w:rFonts w:ascii="Century Gothic" w:hAnsi="Century Gothic"/>
          <w:sz w:val="20"/>
          <w:szCs w:val="20"/>
        </w:rPr>
        <w:t xml:space="preserve">. During the performance of the </w:t>
      </w:r>
      <w:r w:rsidR="000D1740">
        <w:rPr>
          <w:rFonts w:ascii="Century Gothic" w:hAnsi="Century Gothic"/>
          <w:sz w:val="20"/>
          <w:szCs w:val="20"/>
        </w:rPr>
        <w:t>C</w:t>
      </w:r>
      <w:r w:rsidRPr="0008589A">
        <w:rPr>
          <w:rFonts w:ascii="Century Gothic" w:hAnsi="Century Gothic"/>
          <w:sz w:val="20"/>
          <w:szCs w:val="20"/>
        </w:rPr>
        <w:t xml:space="preserve">ontract, the characteristics of </w:t>
      </w:r>
      <w:r w:rsidR="00EC70F4">
        <w:rPr>
          <w:rFonts w:ascii="Century Gothic" w:hAnsi="Century Gothic"/>
          <w:sz w:val="20"/>
          <w:szCs w:val="20"/>
        </w:rPr>
        <w:t xml:space="preserve">the </w:t>
      </w:r>
      <w:r w:rsidRPr="0008589A">
        <w:rPr>
          <w:rFonts w:ascii="Century Gothic" w:hAnsi="Century Gothic"/>
          <w:sz w:val="20"/>
          <w:szCs w:val="20"/>
        </w:rPr>
        <w:t xml:space="preserve">daily </w:t>
      </w:r>
      <w:r w:rsidR="00EC70F4">
        <w:rPr>
          <w:rFonts w:ascii="Century Gothic" w:hAnsi="Century Gothic"/>
          <w:sz w:val="20"/>
          <w:szCs w:val="20"/>
        </w:rPr>
        <w:t>physical flow</w:t>
      </w:r>
      <w:r w:rsidR="00EC70F4" w:rsidRPr="0008589A">
        <w:rPr>
          <w:rFonts w:ascii="Century Gothic" w:hAnsi="Century Gothic"/>
          <w:sz w:val="20"/>
          <w:szCs w:val="20"/>
        </w:rPr>
        <w:t xml:space="preserve"> </w:t>
      </w:r>
      <w:r w:rsidRPr="0008589A">
        <w:rPr>
          <w:rFonts w:ascii="Century Gothic" w:hAnsi="Century Gothic"/>
          <w:sz w:val="20"/>
          <w:szCs w:val="20"/>
        </w:rPr>
        <w:t xml:space="preserve">may change as a result of a change in the </w:t>
      </w:r>
      <w:r w:rsidR="00F24152">
        <w:rPr>
          <w:rFonts w:ascii="Century Gothic" w:hAnsi="Century Gothic"/>
          <w:sz w:val="20"/>
          <w:szCs w:val="20"/>
        </w:rPr>
        <w:t xml:space="preserve">off-take </w:t>
      </w:r>
      <w:r w:rsidRPr="0008589A">
        <w:rPr>
          <w:rFonts w:ascii="Century Gothic" w:hAnsi="Century Gothic"/>
          <w:sz w:val="20"/>
          <w:szCs w:val="20"/>
        </w:rPr>
        <w:t>structure in the distribution system supplied from Branice entry point (ID 372414).</w:t>
      </w:r>
    </w:p>
    <w:p w14:paraId="61B296C9" w14:textId="5429A77A" w:rsidR="004E542C" w:rsidRPr="0008589A" w:rsidRDefault="00B4733F"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t xml:space="preserve">An </w:t>
      </w:r>
      <w:r w:rsidR="00F24152" w:rsidRPr="0008589A">
        <w:rPr>
          <w:rFonts w:ascii="Century Gothic" w:hAnsi="Century Gothic"/>
          <w:sz w:val="20"/>
          <w:szCs w:val="20"/>
        </w:rPr>
        <w:t>ex</w:t>
      </w:r>
      <w:r w:rsidR="00F24152">
        <w:rPr>
          <w:rFonts w:ascii="Century Gothic" w:hAnsi="Century Gothic"/>
          <w:sz w:val="20"/>
          <w:szCs w:val="20"/>
        </w:rPr>
        <w:t>a</w:t>
      </w:r>
      <w:r w:rsidR="00F24152" w:rsidRPr="0008589A">
        <w:rPr>
          <w:rFonts w:ascii="Century Gothic" w:hAnsi="Century Gothic"/>
          <w:sz w:val="20"/>
          <w:szCs w:val="20"/>
        </w:rPr>
        <w:t>mpl</w:t>
      </w:r>
      <w:r w:rsidR="00F24152">
        <w:rPr>
          <w:rFonts w:ascii="Century Gothic" w:hAnsi="Century Gothic"/>
          <w:sz w:val="20"/>
          <w:szCs w:val="20"/>
        </w:rPr>
        <w:t>e of the</w:t>
      </w:r>
      <w:r w:rsidR="00F24152" w:rsidRPr="0008589A">
        <w:rPr>
          <w:rFonts w:ascii="Century Gothic" w:hAnsi="Century Gothic"/>
          <w:sz w:val="20"/>
          <w:szCs w:val="20"/>
        </w:rPr>
        <w:t xml:space="preserve"> </w:t>
      </w:r>
      <w:r w:rsidRPr="0008589A">
        <w:rPr>
          <w:rFonts w:ascii="Century Gothic" w:hAnsi="Century Gothic"/>
          <w:sz w:val="20"/>
          <w:szCs w:val="20"/>
        </w:rPr>
        <w:t xml:space="preserve">profile of hourly gas transmission at Branice </w:t>
      </w:r>
      <w:r w:rsidR="00F24152">
        <w:rPr>
          <w:rFonts w:ascii="Century Gothic" w:hAnsi="Century Gothic"/>
          <w:sz w:val="20"/>
          <w:szCs w:val="20"/>
        </w:rPr>
        <w:t xml:space="preserve">entry </w:t>
      </w:r>
      <w:r w:rsidRPr="0008589A">
        <w:rPr>
          <w:rFonts w:ascii="Century Gothic" w:hAnsi="Century Gothic"/>
          <w:sz w:val="20"/>
          <w:szCs w:val="20"/>
        </w:rPr>
        <w:t>point (ID 372414) based on historical data (between 1 October 20</w:t>
      </w:r>
      <w:r w:rsidR="00741599">
        <w:rPr>
          <w:rFonts w:ascii="Century Gothic" w:hAnsi="Century Gothic"/>
          <w:sz w:val="20"/>
          <w:szCs w:val="20"/>
        </w:rPr>
        <w:t>2</w:t>
      </w:r>
      <w:r w:rsidR="00F24152">
        <w:rPr>
          <w:rFonts w:ascii="Century Gothic" w:hAnsi="Century Gothic"/>
          <w:sz w:val="20"/>
          <w:szCs w:val="20"/>
        </w:rPr>
        <w:t>1</w:t>
      </w:r>
      <w:r w:rsidRPr="0008589A">
        <w:rPr>
          <w:rFonts w:ascii="Century Gothic" w:hAnsi="Century Gothic"/>
          <w:sz w:val="20"/>
          <w:szCs w:val="20"/>
        </w:rPr>
        <w:t xml:space="preserve"> and 31 May 202</w:t>
      </w:r>
      <w:r w:rsidR="00F24152">
        <w:rPr>
          <w:rFonts w:ascii="Century Gothic" w:hAnsi="Century Gothic"/>
          <w:sz w:val="20"/>
          <w:szCs w:val="20"/>
        </w:rPr>
        <w:t>4</w:t>
      </w:r>
      <w:r w:rsidRPr="0008589A">
        <w:rPr>
          <w:rFonts w:ascii="Century Gothic" w:hAnsi="Century Gothic"/>
          <w:sz w:val="20"/>
          <w:szCs w:val="20"/>
        </w:rPr>
        <w:t>) is presented in Appendix 2</w:t>
      </w:r>
      <w:r w:rsidR="00582A17">
        <w:rPr>
          <w:rFonts w:ascii="Century Gothic" w:hAnsi="Century Gothic"/>
          <w:sz w:val="20"/>
          <w:szCs w:val="20"/>
        </w:rPr>
        <w:t xml:space="preserve"> hereto</w:t>
      </w:r>
      <w:r w:rsidRPr="0008589A">
        <w:rPr>
          <w:rFonts w:ascii="Century Gothic" w:hAnsi="Century Gothic"/>
          <w:sz w:val="20"/>
          <w:szCs w:val="20"/>
        </w:rPr>
        <w:t xml:space="preserve">. During the performance of the </w:t>
      </w:r>
      <w:r w:rsidR="000D1740">
        <w:rPr>
          <w:rFonts w:ascii="Century Gothic" w:hAnsi="Century Gothic"/>
          <w:sz w:val="20"/>
          <w:szCs w:val="20"/>
        </w:rPr>
        <w:t>C</w:t>
      </w:r>
      <w:r w:rsidRPr="0008589A">
        <w:rPr>
          <w:rFonts w:ascii="Century Gothic" w:hAnsi="Century Gothic"/>
          <w:sz w:val="20"/>
          <w:szCs w:val="20"/>
        </w:rPr>
        <w:t xml:space="preserve">ontract, the characteristics of </w:t>
      </w:r>
      <w:r w:rsidR="00F24152">
        <w:rPr>
          <w:rFonts w:ascii="Century Gothic" w:hAnsi="Century Gothic"/>
          <w:sz w:val="20"/>
          <w:szCs w:val="20"/>
        </w:rPr>
        <w:t>the hourly</w:t>
      </w:r>
      <w:r w:rsidR="00F24152" w:rsidRPr="0008589A">
        <w:rPr>
          <w:rFonts w:ascii="Century Gothic" w:hAnsi="Century Gothic"/>
          <w:sz w:val="20"/>
          <w:szCs w:val="20"/>
        </w:rPr>
        <w:t xml:space="preserve"> </w:t>
      </w:r>
      <w:r w:rsidR="00EC70F4">
        <w:rPr>
          <w:rFonts w:ascii="Century Gothic" w:hAnsi="Century Gothic"/>
          <w:sz w:val="20"/>
          <w:szCs w:val="20"/>
        </w:rPr>
        <w:t>physical flow</w:t>
      </w:r>
      <w:r w:rsidR="00EC70F4" w:rsidRPr="0008589A">
        <w:rPr>
          <w:rFonts w:ascii="Century Gothic" w:hAnsi="Century Gothic"/>
          <w:sz w:val="20"/>
          <w:szCs w:val="20"/>
        </w:rPr>
        <w:t xml:space="preserve"> </w:t>
      </w:r>
      <w:r w:rsidRPr="0008589A">
        <w:rPr>
          <w:rFonts w:ascii="Century Gothic" w:hAnsi="Century Gothic"/>
          <w:sz w:val="20"/>
          <w:szCs w:val="20"/>
        </w:rPr>
        <w:t>may change as a result of a change in the</w:t>
      </w:r>
      <w:r w:rsidR="00582A17">
        <w:rPr>
          <w:rFonts w:ascii="Century Gothic" w:hAnsi="Century Gothic"/>
          <w:sz w:val="20"/>
          <w:szCs w:val="20"/>
        </w:rPr>
        <w:t xml:space="preserve"> off-take</w:t>
      </w:r>
      <w:r w:rsidRPr="0008589A">
        <w:rPr>
          <w:rFonts w:ascii="Century Gothic" w:hAnsi="Century Gothic"/>
          <w:sz w:val="20"/>
          <w:szCs w:val="20"/>
        </w:rPr>
        <w:t xml:space="preserve"> structure in the distribution system supplied from Branice entry point (ID 372414).</w:t>
      </w:r>
    </w:p>
    <w:p w14:paraId="1B4F8B51" w14:textId="3B65870B" w:rsidR="00A1136E" w:rsidRPr="0008589A" w:rsidRDefault="00A1136E"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t xml:space="preserve">In the case of </w:t>
      </w:r>
      <w:r w:rsidR="00582A17">
        <w:rPr>
          <w:rFonts w:ascii="Century Gothic" w:hAnsi="Century Gothic"/>
          <w:sz w:val="20"/>
          <w:szCs w:val="20"/>
        </w:rPr>
        <w:t xml:space="preserve">other than </w:t>
      </w:r>
      <w:r w:rsidR="000D1740">
        <w:rPr>
          <w:rFonts w:ascii="Century Gothic" w:hAnsi="Century Gothic"/>
          <w:sz w:val="20"/>
          <w:szCs w:val="20"/>
        </w:rPr>
        <w:t>z</w:t>
      </w:r>
      <w:r w:rsidR="00582A17">
        <w:rPr>
          <w:rFonts w:ascii="Century Gothic" w:hAnsi="Century Gothic"/>
          <w:sz w:val="20"/>
          <w:szCs w:val="20"/>
        </w:rPr>
        <w:t>ero</w:t>
      </w:r>
      <w:r w:rsidRPr="0008589A">
        <w:rPr>
          <w:rFonts w:ascii="Century Gothic" w:hAnsi="Century Gothic"/>
          <w:sz w:val="20"/>
          <w:szCs w:val="20"/>
        </w:rPr>
        <w:t xml:space="preserve"> </w:t>
      </w:r>
      <w:r w:rsidR="000D1740">
        <w:rPr>
          <w:rFonts w:ascii="Century Gothic" w:hAnsi="Century Gothic"/>
          <w:sz w:val="20"/>
          <w:szCs w:val="20"/>
        </w:rPr>
        <w:t xml:space="preserve">(0) </w:t>
      </w:r>
      <w:r w:rsidRPr="0008589A">
        <w:rPr>
          <w:rFonts w:ascii="Century Gothic" w:hAnsi="Century Gothic"/>
          <w:sz w:val="20"/>
          <w:szCs w:val="20"/>
        </w:rPr>
        <w:t xml:space="preserve">nominations for Branice entry point (ID 372414), the Contracting </w:t>
      </w:r>
      <w:r w:rsidR="00582A17">
        <w:rPr>
          <w:rFonts w:ascii="Century Gothic" w:hAnsi="Century Gothic"/>
          <w:sz w:val="20"/>
          <w:szCs w:val="20"/>
        </w:rPr>
        <w:t>Entity</w:t>
      </w:r>
      <w:r w:rsidR="00582A17" w:rsidRPr="0008589A">
        <w:rPr>
          <w:rFonts w:ascii="Century Gothic" w:hAnsi="Century Gothic"/>
          <w:sz w:val="20"/>
          <w:szCs w:val="20"/>
        </w:rPr>
        <w:t xml:space="preserve"> </w:t>
      </w:r>
      <w:r w:rsidRPr="0008589A">
        <w:rPr>
          <w:rFonts w:ascii="Century Gothic" w:hAnsi="Century Gothic"/>
          <w:sz w:val="20"/>
          <w:szCs w:val="20"/>
        </w:rPr>
        <w:t>shall provide the Contractor with information about the fact of nomination</w:t>
      </w:r>
      <w:r w:rsidR="00582A17">
        <w:rPr>
          <w:rFonts w:ascii="Century Gothic" w:hAnsi="Century Gothic"/>
          <w:sz w:val="20"/>
          <w:szCs w:val="20"/>
        </w:rPr>
        <w:t xml:space="preserve"> submission</w:t>
      </w:r>
      <w:r w:rsidRPr="0008589A">
        <w:rPr>
          <w:rFonts w:ascii="Century Gothic" w:hAnsi="Century Gothic"/>
          <w:sz w:val="20"/>
          <w:szCs w:val="20"/>
        </w:rPr>
        <w:t>.</w:t>
      </w:r>
    </w:p>
    <w:p w14:paraId="55A06449" w14:textId="20C37B9F" w:rsidR="00A1136E" w:rsidRDefault="007F70D1"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08589A">
        <w:rPr>
          <w:rFonts w:ascii="Century Gothic" w:hAnsi="Century Gothic"/>
          <w:sz w:val="20"/>
          <w:szCs w:val="20"/>
        </w:rPr>
        <w:t xml:space="preserve">The Contracting </w:t>
      </w:r>
      <w:r w:rsidR="00582A17">
        <w:rPr>
          <w:rFonts w:ascii="Century Gothic" w:hAnsi="Century Gothic"/>
          <w:sz w:val="20"/>
          <w:szCs w:val="20"/>
        </w:rPr>
        <w:t>Entity</w:t>
      </w:r>
      <w:r w:rsidR="00582A17" w:rsidRPr="0008589A">
        <w:rPr>
          <w:rFonts w:ascii="Century Gothic" w:hAnsi="Century Gothic"/>
          <w:sz w:val="20"/>
          <w:szCs w:val="20"/>
        </w:rPr>
        <w:t xml:space="preserve"> </w:t>
      </w:r>
      <w:r w:rsidRPr="0008589A">
        <w:rPr>
          <w:rFonts w:ascii="Century Gothic" w:hAnsi="Century Gothic"/>
          <w:sz w:val="20"/>
          <w:szCs w:val="20"/>
        </w:rPr>
        <w:t xml:space="preserve">shall provide the Contractor with information on the </w:t>
      </w:r>
      <w:r w:rsidR="00582A17">
        <w:rPr>
          <w:rFonts w:ascii="Century Gothic" w:hAnsi="Century Gothic"/>
          <w:sz w:val="20"/>
          <w:szCs w:val="20"/>
        </w:rPr>
        <w:t>quantities</w:t>
      </w:r>
      <w:r w:rsidR="00582A17" w:rsidRPr="0008589A">
        <w:rPr>
          <w:rFonts w:ascii="Century Gothic" w:hAnsi="Century Gothic"/>
          <w:sz w:val="20"/>
          <w:szCs w:val="20"/>
        </w:rPr>
        <w:t xml:space="preserve"> </w:t>
      </w:r>
      <w:r w:rsidRPr="0008589A">
        <w:rPr>
          <w:rFonts w:ascii="Century Gothic" w:hAnsi="Century Gothic"/>
          <w:sz w:val="20"/>
          <w:szCs w:val="20"/>
        </w:rPr>
        <w:t>of gas</w:t>
      </w:r>
      <w:r w:rsidR="00582A17">
        <w:rPr>
          <w:rFonts w:ascii="Century Gothic" w:hAnsi="Century Gothic"/>
          <w:sz w:val="20"/>
          <w:szCs w:val="20"/>
        </w:rPr>
        <w:t xml:space="preserve"> metered</w:t>
      </w:r>
      <w:r w:rsidRPr="0008589A">
        <w:rPr>
          <w:rFonts w:ascii="Century Gothic" w:hAnsi="Century Gothic"/>
          <w:sz w:val="20"/>
          <w:szCs w:val="20"/>
        </w:rPr>
        <w:t xml:space="preserve"> at Branice point (ID 372414) (</w:t>
      </w:r>
      <w:r w:rsidR="00582A17" w:rsidRPr="0008589A">
        <w:rPr>
          <w:rFonts w:ascii="Century Gothic" w:hAnsi="Century Gothic"/>
          <w:sz w:val="20"/>
          <w:szCs w:val="20"/>
        </w:rPr>
        <w:t>me</w:t>
      </w:r>
      <w:r w:rsidR="00582A17">
        <w:rPr>
          <w:rFonts w:ascii="Century Gothic" w:hAnsi="Century Gothic"/>
          <w:sz w:val="20"/>
          <w:szCs w:val="20"/>
        </w:rPr>
        <w:t>tering</w:t>
      </w:r>
      <w:r w:rsidR="00582A17" w:rsidRPr="0008589A">
        <w:rPr>
          <w:rFonts w:ascii="Century Gothic" w:hAnsi="Century Gothic"/>
          <w:sz w:val="20"/>
          <w:szCs w:val="20"/>
        </w:rPr>
        <w:t xml:space="preserve"> </w:t>
      </w:r>
      <w:r w:rsidRPr="0008589A">
        <w:rPr>
          <w:rFonts w:ascii="Century Gothic" w:hAnsi="Century Gothic"/>
          <w:sz w:val="20"/>
          <w:szCs w:val="20"/>
        </w:rPr>
        <w:t>data).</w:t>
      </w:r>
    </w:p>
    <w:p w14:paraId="43FFF7B3" w14:textId="30A7B8E3" w:rsidR="00EC70F4" w:rsidRPr="0008589A" w:rsidRDefault="00EC70F4" w:rsidP="001706D7">
      <w:pPr>
        <w:pStyle w:val="Akapitzlist"/>
        <w:numPr>
          <w:ilvl w:val="1"/>
          <w:numId w:val="8"/>
        </w:numPr>
        <w:spacing w:after="0" w:line="360" w:lineRule="auto"/>
        <w:ind w:left="851" w:hanging="425"/>
        <w:contextualSpacing w:val="0"/>
        <w:jc w:val="both"/>
        <w:rPr>
          <w:rFonts w:ascii="Century Gothic" w:hAnsi="Century Gothic"/>
          <w:sz w:val="20"/>
          <w:szCs w:val="20"/>
        </w:rPr>
      </w:pPr>
      <w:r w:rsidRPr="00EC70F4">
        <w:rPr>
          <w:rFonts w:ascii="Century Gothic" w:hAnsi="Century Gothic"/>
          <w:sz w:val="20"/>
          <w:szCs w:val="20"/>
        </w:rPr>
        <w:t>The Contracting Entity commits to use the Contractor's services to the extent resulting in the use of no less than 1,800,000 kWh, which amounts to 30% of the estimated gas demand indicated in Section 2.4. The Contractor shall not be entitled to bring any claims against the Contracting Entity for the Contracting Entity's failure to use the remaining scope of the services</w:t>
      </w:r>
      <w:r w:rsidR="00AD175E">
        <w:rPr>
          <w:rFonts w:ascii="Century Gothic" w:hAnsi="Century Gothic"/>
          <w:sz w:val="20"/>
          <w:szCs w:val="20"/>
        </w:rPr>
        <w:t>.</w:t>
      </w:r>
    </w:p>
    <w:p w14:paraId="053437C3" w14:textId="77777777" w:rsidR="0071200B" w:rsidRPr="0008589A" w:rsidRDefault="0071200B" w:rsidP="001706D7">
      <w:pPr>
        <w:pStyle w:val="Akapitzlist"/>
        <w:spacing w:after="0" w:line="360" w:lineRule="auto"/>
        <w:ind w:left="1080"/>
        <w:jc w:val="both"/>
        <w:rPr>
          <w:rFonts w:ascii="Century Gothic" w:hAnsi="Century Gothic"/>
          <w:sz w:val="20"/>
          <w:szCs w:val="20"/>
        </w:rPr>
      </w:pPr>
    </w:p>
    <w:p w14:paraId="53E1FFDF" w14:textId="5D5E19AA" w:rsidR="00624B02" w:rsidRPr="0008589A" w:rsidRDefault="00624B02" w:rsidP="001706D7">
      <w:pPr>
        <w:spacing w:after="0" w:line="360" w:lineRule="auto"/>
        <w:jc w:val="both"/>
        <w:rPr>
          <w:rFonts w:ascii="Century Gothic" w:hAnsi="Century Gothic"/>
          <w:sz w:val="20"/>
          <w:szCs w:val="20"/>
          <w:u w:val="single"/>
        </w:rPr>
      </w:pPr>
    </w:p>
    <w:p w14:paraId="7E0B806C" w14:textId="77777777" w:rsidR="006F4ACE" w:rsidRPr="0008589A" w:rsidRDefault="006F4ACE" w:rsidP="001706D7">
      <w:pPr>
        <w:spacing w:after="0" w:line="360" w:lineRule="auto"/>
        <w:jc w:val="both"/>
        <w:rPr>
          <w:rFonts w:ascii="Century Gothic" w:hAnsi="Century Gothic"/>
          <w:sz w:val="20"/>
          <w:szCs w:val="20"/>
          <w:u w:val="single"/>
        </w:rPr>
      </w:pPr>
    </w:p>
    <w:p w14:paraId="5BCBE822" w14:textId="43133B98" w:rsidR="00B726A4" w:rsidRPr="0008589A" w:rsidRDefault="00B726A4" w:rsidP="001706D7">
      <w:pPr>
        <w:spacing w:after="0" w:line="360" w:lineRule="auto"/>
        <w:jc w:val="both"/>
        <w:rPr>
          <w:rFonts w:ascii="Century Gothic" w:hAnsi="Century Gothic"/>
          <w:sz w:val="20"/>
          <w:szCs w:val="20"/>
        </w:rPr>
      </w:pPr>
      <w:r w:rsidRPr="0008589A">
        <w:rPr>
          <w:rFonts w:ascii="Century Gothic" w:hAnsi="Century Gothic"/>
          <w:sz w:val="20"/>
          <w:szCs w:val="20"/>
          <w:u w:val="single"/>
        </w:rPr>
        <w:t>Appendices</w:t>
      </w:r>
      <w:r w:rsidRPr="0008589A">
        <w:rPr>
          <w:rFonts w:ascii="Century Gothic" w:hAnsi="Century Gothic"/>
          <w:sz w:val="20"/>
          <w:szCs w:val="20"/>
        </w:rPr>
        <w:t>:</w:t>
      </w:r>
    </w:p>
    <w:p w14:paraId="38954DE6" w14:textId="7ACD2BA8" w:rsidR="00482C4B" w:rsidRPr="0008589A" w:rsidRDefault="00482C4B" w:rsidP="00116BED">
      <w:pPr>
        <w:pStyle w:val="Akapitzlist"/>
        <w:numPr>
          <w:ilvl w:val="0"/>
          <w:numId w:val="5"/>
        </w:numPr>
        <w:spacing w:after="0" w:line="360" w:lineRule="auto"/>
        <w:ind w:left="426" w:hanging="426"/>
        <w:jc w:val="both"/>
        <w:rPr>
          <w:rFonts w:ascii="Century Gothic" w:hAnsi="Century Gothic"/>
          <w:sz w:val="20"/>
          <w:szCs w:val="20"/>
        </w:rPr>
      </w:pPr>
      <w:r w:rsidRPr="0008589A">
        <w:rPr>
          <w:rFonts w:ascii="Century Gothic" w:hAnsi="Century Gothic"/>
          <w:sz w:val="20"/>
          <w:szCs w:val="20"/>
        </w:rPr>
        <w:t xml:space="preserve">Diagram of daily </w:t>
      </w:r>
      <w:r w:rsidR="00B11E07">
        <w:rPr>
          <w:rFonts w:ascii="Century Gothic" w:hAnsi="Century Gothic"/>
          <w:sz w:val="20"/>
          <w:szCs w:val="20"/>
        </w:rPr>
        <w:t>physical flow</w:t>
      </w:r>
      <w:r w:rsidRPr="0008589A">
        <w:rPr>
          <w:rFonts w:ascii="Century Gothic" w:hAnsi="Century Gothic"/>
          <w:sz w:val="20"/>
          <w:szCs w:val="20"/>
        </w:rPr>
        <w:t xml:space="preserve"> at Branice entry point (ID 372414) between 1 October 20</w:t>
      </w:r>
      <w:r w:rsidR="00741599">
        <w:rPr>
          <w:rFonts w:ascii="Century Gothic" w:hAnsi="Century Gothic"/>
          <w:sz w:val="20"/>
          <w:szCs w:val="20"/>
        </w:rPr>
        <w:t>2</w:t>
      </w:r>
      <w:r w:rsidR="00EC70F4">
        <w:rPr>
          <w:rFonts w:ascii="Century Gothic" w:hAnsi="Century Gothic"/>
          <w:sz w:val="20"/>
          <w:szCs w:val="20"/>
        </w:rPr>
        <w:t>1</w:t>
      </w:r>
      <w:r w:rsidRPr="0008589A">
        <w:rPr>
          <w:rFonts w:ascii="Century Gothic" w:hAnsi="Century Gothic"/>
          <w:sz w:val="20"/>
          <w:szCs w:val="20"/>
        </w:rPr>
        <w:t xml:space="preserve"> and 31 May 202</w:t>
      </w:r>
      <w:r w:rsidR="00EC70F4">
        <w:rPr>
          <w:rFonts w:ascii="Century Gothic" w:hAnsi="Century Gothic"/>
          <w:sz w:val="20"/>
          <w:szCs w:val="20"/>
        </w:rPr>
        <w:t>4</w:t>
      </w:r>
      <w:r w:rsidRPr="0008589A">
        <w:rPr>
          <w:rFonts w:ascii="Century Gothic" w:hAnsi="Century Gothic"/>
          <w:sz w:val="20"/>
          <w:szCs w:val="20"/>
        </w:rPr>
        <w:t>.</w:t>
      </w:r>
    </w:p>
    <w:p w14:paraId="52DA3976" w14:textId="17BDF650" w:rsidR="00482C4B" w:rsidRPr="0008589A" w:rsidRDefault="00482C4B" w:rsidP="00116BED">
      <w:pPr>
        <w:pStyle w:val="Akapitzlist"/>
        <w:numPr>
          <w:ilvl w:val="0"/>
          <w:numId w:val="5"/>
        </w:numPr>
        <w:spacing w:after="0" w:line="360" w:lineRule="auto"/>
        <w:ind w:left="426" w:hanging="426"/>
        <w:jc w:val="both"/>
        <w:rPr>
          <w:rFonts w:ascii="Century Gothic" w:hAnsi="Century Gothic"/>
          <w:sz w:val="20"/>
          <w:szCs w:val="20"/>
        </w:rPr>
      </w:pPr>
      <w:r w:rsidRPr="0008589A">
        <w:rPr>
          <w:rFonts w:ascii="Century Gothic" w:hAnsi="Century Gothic"/>
          <w:sz w:val="20"/>
          <w:szCs w:val="20"/>
        </w:rPr>
        <w:t xml:space="preserve">Diagram of hourly </w:t>
      </w:r>
      <w:r w:rsidR="00B11E07">
        <w:rPr>
          <w:rFonts w:ascii="Century Gothic" w:hAnsi="Century Gothic"/>
          <w:sz w:val="20"/>
          <w:szCs w:val="20"/>
        </w:rPr>
        <w:t>physical flow</w:t>
      </w:r>
      <w:r w:rsidRPr="0008589A">
        <w:rPr>
          <w:rFonts w:ascii="Century Gothic" w:hAnsi="Century Gothic"/>
          <w:sz w:val="20"/>
          <w:szCs w:val="20"/>
        </w:rPr>
        <w:t xml:space="preserve"> at Branice entry point (ID 372414) between 1 October 20</w:t>
      </w:r>
      <w:r w:rsidR="00741599">
        <w:rPr>
          <w:rFonts w:ascii="Century Gothic" w:hAnsi="Century Gothic"/>
          <w:sz w:val="20"/>
          <w:szCs w:val="20"/>
        </w:rPr>
        <w:t>2</w:t>
      </w:r>
      <w:r w:rsidR="00EC70F4">
        <w:rPr>
          <w:rFonts w:ascii="Century Gothic" w:hAnsi="Century Gothic"/>
          <w:sz w:val="20"/>
          <w:szCs w:val="20"/>
        </w:rPr>
        <w:t>1</w:t>
      </w:r>
      <w:r w:rsidRPr="0008589A">
        <w:rPr>
          <w:rFonts w:ascii="Century Gothic" w:hAnsi="Century Gothic"/>
          <w:sz w:val="20"/>
          <w:szCs w:val="20"/>
        </w:rPr>
        <w:t xml:space="preserve"> and 31 May 202</w:t>
      </w:r>
      <w:r w:rsidR="00EC70F4">
        <w:rPr>
          <w:rFonts w:ascii="Century Gothic" w:hAnsi="Century Gothic"/>
          <w:sz w:val="20"/>
          <w:szCs w:val="20"/>
        </w:rPr>
        <w:t>4</w:t>
      </w:r>
      <w:r w:rsidRPr="0008589A">
        <w:rPr>
          <w:rFonts w:ascii="Century Gothic" w:hAnsi="Century Gothic"/>
          <w:sz w:val="20"/>
          <w:szCs w:val="20"/>
        </w:rPr>
        <w:t>.</w:t>
      </w:r>
    </w:p>
    <w:sectPr w:rsidR="00482C4B" w:rsidRPr="0008589A" w:rsidSect="001706D7">
      <w:headerReference w:type="default" r:id="rId8"/>
      <w:footerReference w:type="default" r:id="rId9"/>
      <w:pgSz w:w="11906" w:h="16838"/>
      <w:pgMar w:top="1417" w:right="1417" w:bottom="1417" w:left="1417" w:header="41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FD6D1" w14:textId="77777777" w:rsidR="000E1AC5" w:rsidRDefault="000E1AC5" w:rsidP="002A6D80">
      <w:pPr>
        <w:spacing w:after="0" w:line="240" w:lineRule="auto"/>
      </w:pPr>
      <w:r>
        <w:separator/>
      </w:r>
    </w:p>
  </w:endnote>
  <w:endnote w:type="continuationSeparator" w:id="0">
    <w:p w14:paraId="19EABB0E" w14:textId="77777777" w:rsidR="000E1AC5" w:rsidRDefault="000E1AC5" w:rsidP="002A6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792921"/>
      <w:docPartObj>
        <w:docPartGallery w:val="Page Numbers (Bottom of Page)"/>
        <w:docPartUnique/>
      </w:docPartObj>
    </w:sdtPr>
    <w:sdtEndPr/>
    <w:sdtContent>
      <w:p w14:paraId="4D1711FE" w14:textId="7C2D2239" w:rsidR="002F706E" w:rsidRPr="00E60735" w:rsidRDefault="002F706E" w:rsidP="002F706E">
        <w:pPr>
          <w:pStyle w:val="Stopka"/>
          <w:jc w:val="center"/>
          <w:rPr>
            <w:rFonts w:ascii="Century Gothic" w:hAnsi="Century Gothic"/>
            <w:sz w:val="16"/>
            <w:szCs w:val="16"/>
          </w:rPr>
        </w:pPr>
        <w:r>
          <w:rPr>
            <w:rFonts w:ascii="Century Gothic" w:hAnsi="Century Gothic"/>
            <w:sz w:val="16"/>
            <w:szCs w:val="16"/>
            <w:lang w:val="en"/>
          </w:rPr>
          <w:t xml:space="preserve"> </w:t>
        </w:r>
      </w:p>
      <w:p w14:paraId="3570345C" w14:textId="7ADE3B96" w:rsidR="002F706E" w:rsidRPr="002F706E" w:rsidRDefault="002F706E" w:rsidP="002F706E">
        <w:pPr>
          <w:pStyle w:val="Stopka"/>
          <w:jc w:val="right"/>
        </w:pPr>
        <w:r>
          <w:rPr>
            <w:rFonts w:ascii="Century Gothic" w:hAnsi="Century Gothic"/>
            <w:sz w:val="20"/>
            <w:szCs w:val="20"/>
            <w:lang w:val="en"/>
          </w:rPr>
          <w:fldChar w:fldCharType="begin"/>
        </w:r>
        <w:r>
          <w:rPr>
            <w:rFonts w:ascii="Century Gothic" w:hAnsi="Century Gothic"/>
            <w:sz w:val="20"/>
            <w:szCs w:val="20"/>
            <w:lang w:val="en"/>
          </w:rPr>
          <w:instrText xml:space="preserve"> PAGE   \* MERGEFORMAT </w:instrText>
        </w:r>
        <w:r>
          <w:rPr>
            <w:rFonts w:ascii="Century Gothic" w:hAnsi="Century Gothic"/>
            <w:sz w:val="20"/>
            <w:szCs w:val="20"/>
            <w:lang w:val="en"/>
          </w:rPr>
          <w:fldChar w:fldCharType="separate"/>
        </w:r>
        <w:r>
          <w:rPr>
            <w:rFonts w:ascii="Century Gothic" w:hAnsi="Century Gothic"/>
            <w:noProof/>
            <w:sz w:val="20"/>
            <w:szCs w:val="20"/>
            <w:lang w:val="en"/>
          </w:rPr>
          <w:t>2</w:t>
        </w:r>
        <w:r>
          <w:rPr>
            <w:rFonts w:ascii="Century Gothic" w:hAnsi="Century Gothic"/>
            <w:sz w:val="20"/>
            <w:szCs w:val="20"/>
            <w:lang w:val="e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8F506" w14:textId="77777777" w:rsidR="000E1AC5" w:rsidRDefault="000E1AC5" w:rsidP="002A6D80">
      <w:pPr>
        <w:spacing w:after="0" w:line="240" w:lineRule="auto"/>
      </w:pPr>
      <w:r>
        <w:separator/>
      </w:r>
    </w:p>
  </w:footnote>
  <w:footnote w:type="continuationSeparator" w:id="0">
    <w:p w14:paraId="73D6372B" w14:textId="77777777" w:rsidR="000E1AC5" w:rsidRDefault="000E1AC5" w:rsidP="002A6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1962" w14:textId="1BEBC799" w:rsidR="003A5D39" w:rsidRPr="00D4619A" w:rsidRDefault="003A5D39" w:rsidP="003A5D39">
    <w:pPr>
      <w:tabs>
        <w:tab w:val="center" w:pos="4536"/>
        <w:tab w:val="right" w:pos="9072"/>
      </w:tabs>
      <w:spacing w:after="0" w:line="360" w:lineRule="auto"/>
      <w:jc w:val="center"/>
      <w:rPr>
        <w:rFonts w:ascii="Century Gothic" w:eastAsia="Times New Roman" w:hAnsi="Century Gothic" w:cs="Century Gothic"/>
        <w:sz w:val="16"/>
        <w:szCs w:val="16"/>
      </w:rPr>
    </w:pPr>
    <w:r>
      <w:rPr>
        <w:rFonts w:ascii="Century Gothic" w:eastAsia="Times New Roman" w:hAnsi="Century Gothic" w:cs="Century Gothic"/>
        <w:sz w:val="16"/>
        <w:szCs w:val="16"/>
        <w:lang w:val="en"/>
      </w:rPr>
      <w:t xml:space="preserve">Terms of Reference </w:t>
    </w:r>
  </w:p>
  <w:p w14:paraId="5D5EA88E" w14:textId="0DD4A994" w:rsidR="003A5D39" w:rsidRPr="00D4619A" w:rsidRDefault="003A5D39" w:rsidP="003A5D39">
    <w:pPr>
      <w:spacing w:after="0" w:line="360" w:lineRule="auto"/>
      <w:jc w:val="center"/>
      <w:rPr>
        <w:rFonts w:ascii="Century Gothic" w:eastAsia="Times New Roman" w:hAnsi="Century Gothic" w:cs="Century Gothic"/>
        <w:bCs/>
        <w:sz w:val="18"/>
        <w:szCs w:val="18"/>
      </w:rPr>
    </w:pPr>
    <w:r>
      <w:rPr>
        <w:rFonts w:ascii="Century Gothic" w:hAnsi="Century Gothic" w:cs="Century Gothic"/>
        <w:sz w:val="16"/>
        <w:szCs w:val="16"/>
        <w:lang w:val="en"/>
      </w:rPr>
      <w:t xml:space="preserve">“Balancing services at Branice </w:t>
    </w:r>
    <w:r w:rsidR="00A4177A">
      <w:rPr>
        <w:rFonts w:ascii="Century Gothic" w:hAnsi="Century Gothic" w:cs="Century Gothic"/>
        <w:sz w:val="16"/>
        <w:szCs w:val="16"/>
        <w:lang w:val="en"/>
      </w:rPr>
      <w:t>entry point</w:t>
    </w:r>
    <w:r>
      <w:rPr>
        <w:rFonts w:ascii="Century Gothic" w:hAnsi="Century Gothic" w:cs="Century Gothic"/>
        <w:sz w:val="16"/>
        <w:szCs w:val="16"/>
        <w:lang w:val="en"/>
      </w:rPr>
      <w:t xml:space="preserve"> (ID 372414)”</w:t>
    </w:r>
  </w:p>
  <w:p w14:paraId="75B56249" w14:textId="0F96488D" w:rsidR="001706D7" w:rsidRPr="006F4ACE" w:rsidRDefault="00A4177A" w:rsidP="00DD78CC">
    <w:pPr>
      <w:pBdr>
        <w:bottom w:val="single" w:sz="4" w:space="1" w:color="auto"/>
      </w:pBdr>
      <w:spacing w:after="0" w:line="360" w:lineRule="auto"/>
      <w:jc w:val="center"/>
    </w:pPr>
    <w:r>
      <w:rPr>
        <w:rFonts w:ascii="Century Gothic" w:eastAsia="Times New Roman" w:hAnsi="Century Gothic" w:cs="Century Gothic"/>
        <w:sz w:val="16"/>
        <w:szCs w:val="16"/>
        <w:lang w:val="en"/>
      </w:rPr>
      <w:t>P</w:t>
    </w:r>
    <w:r w:rsidR="003A5D39">
      <w:rPr>
        <w:rFonts w:ascii="Century Gothic" w:eastAsia="Times New Roman" w:hAnsi="Century Gothic" w:cs="Century Gothic"/>
        <w:sz w:val="16"/>
        <w:szCs w:val="16"/>
        <w:lang w:val="en"/>
      </w:rPr>
      <w:t>rocedure number: NP/202</w:t>
    </w:r>
    <w:r w:rsidR="003E2264">
      <w:rPr>
        <w:rFonts w:ascii="Century Gothic" w:eastAsia="Times New Roman" w:hAnsi="Century Gothic" w:cs="Century Gothic"/>
        <w:sz w:val="16"/>
        <w:szCs w:val="16"/>
        <w:lang w:val="en"/>
      </w:rPr>
      <w:t>4</w:t>
    </w:r>
    <w:r w:rsidR="003A5D39">
      <w:rPr>
        <w:rFonts w:ascii="Century Gothic" w:eastAsia="Times New Roman" w:hAnsi="Century Gothic" w:cs="Century Gothic"/>
        <w:sz w:val="16"/>
        <w:szCs w:val="16"/>
        <w:lang w:val="en"/>
      </w:rPr>
      <w:t>/0</w:t>
    </w:r>
    <w:r w:rsidR="003E2264">
      <w:rPr>
        <w:rFonts w:ascii="Century Gothic" w:eastAsia="Times New Roman" w:hAnsi="Century Gothic" w:cs="Century Gothic"/>
        <w:sz w:val="16"/>
        <w:szCs w:val="16"/>
        <w:lang w:val="en"/>
      </w:rPr>
      <w:t>6</w:t>
    </w:r>
    <w:r w:rsidR="003A5D39">
      <w:rPr>
        <w:rFonts w:ascii="Century Gothic" w:eastAsia="Times New Roman" w:hAnsi="Century Gothic" w:cs="Century Gothic"/>
        <w:sz w:val="16"/>
        <w:szCs w:val="16"/>
        <w:lang w:val="en"/>
      </w:rPr>
      <w:t>/0</w:t>
    </w:r>
    <w:r w:rsidR="003E2264">
      <w:rPr>
        <w:rFonts w:ascii="Century Gothic" w:eastAsia="Times New Roman" w:hAnsi="Century Gothic" w:cs="Century Gothic"/>
        <w:sz w:val="16"/>
        <w:szCs w:val="16"/>
        <w:lang w:val="en"/>
      </w:rPr>
      <w:t>519</w:t>
    </w:r>
    <w:r w:rsidR="003A5D39">
      <w:rPr>
        <w:rFonts w:ascii="Century Gothic" w:eastAsia="Times New Roman" w:hAnsi="Century Gothic" w:cs="Century Gothic"/>
        <w:sz w:val="16"/>
        <w:szCs w:val="16"/>
        <w:lang w:val="en"/>
      </w:rPr>
      <w:t>/PK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4DDC"/>
    <w:multiLevelType w:val="multilevel"/>
    <w:tmpl w:val="D23E1FBC"/>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593156"/>
    <w:multiLevelType w:val="multilevel"/>
    <w:tmpl w:val="CB7876D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4B01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C57162"/>
    <w:multiLevelType w:val="hybridMultilevel"/>
    <w:tmpl w:val="E5802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6A1ADA"/>
    <w:multiLevelType w:val="multilevel"/>
    <w:tmpl w:val="C860BCE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C43774"/>
    <w:multiLevelType w:val="hybridMultilevel"/>
    <w:tmpl w:val="3B708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1BA5FDC"/>
    <w:multiLevelType w:val="hybridMultilevel"/>
    <w:tmpl w:val="D17C0E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F235C8D"/>
    <w:multiLevelType w:val="multilevel"/>
    <w:tmpl w:val="0415001F"/>
    <w:lvl w:ilvl="0">
      <w:start w:val="1"/>
      <w:numFmt w:val="decimal"/>
      <w:lvlText w:val="%1."/>
      <w:lvlJc w:val="left"/>
      <w:pPr>
        <w:ind w:left="1068" w:hanging="360"/>
      </w:pPr>
      <w:rPr>
        <w:rFonts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78F806A8"/>
    <w:multiLevelType w:val="hybridMultilevel"/>
    <w:tmpl w:val="CCC67342"/>
    <w:lvl w:ilvl="0" w:tplc="493C15B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5035381">
    <w:abstractNumId w:val="3"/>
  </w:num>
  <w:num w:numId="2" w16cid:durableId="419104612">
    <w:abstractNumId w:val="6"/>
  </w:num>
  <w:num w:numId="3" w16cid:durableId="409624120">
    <w:abstractNumId w:val="2"/>
  </w:num>
  <w:num w:numId="4" w16cid:durableId="1568567084">
    <w:abstractNumId w:val="1"/>
  </w:num>
  <w:num w:numId="5" w16cid:durableId="1509566065">
    <w:abstractNumId w:val="5"/>
  </w:num>
  <w:num w:numId="6" w16cid:durableId="1594632296">
    <w:abstractNumId w:val="7"/>
  </w:num>
  <w:num w:numId="7" w16cid:durableId="352196216">
    <w:abstractNumId w:val="8"/>
  </w:num>
  <w:num w:numId="8" w16cid:durableId="1773352771">
    <w:abstractNumId w:val="0"/>
  </w:num>
  <w:num w:numId="9" w16cid:durableId="1367608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95D"/>
    <w:rsid w:val="000031AB"/>
    <w:rsid w:val="000039F6"/>
    <w:rsid w:val="0000604A"/>
    <w:rsid w:val="0001521C"/>
    <w:rsid w:val="00042CDC"/>
    <w:rsid w:val="00056BDD"/>
    <w:rsid w:val="00073CAD"/>
    <w:rsid w:val="00075CAF"/>
    <w:rsid w:val="0008589A"/>
    <w:rsid w:val="00086E12"/>
    <w:rsid w:val="0009223F"/>
    <w:rsid w:val="000B0249"/>
    <w:rsid w:val="000B0C8D"/>
    <w:rsid w:val="000B3228"/>
    <w:rsid w:val="000B5449"/>
    <w:rsid w:val="000D1740"/>
    <w:rsid w:val="000E1182"/>
    <w:rsid w:val="000E1AC5"/>
    <w:rsid w:val="00101519"/>
    <w:rsid w:val="00102ADC"/>
    <w:rsid w:val="00116BED"/>
    <w:rsid w:val="00125CFA"/>
    <w:rsid w:val="00127E3C"/>
    <w:rsid w:val="00145F6B"/>
    <w:rsid w:val="001706D7"/>
    <w:rsid w:val="00174F11"/>
    <w:rsid w:val="0017682E"/>
    <w:rsid w:val="00192530"/>
    <w:rsid w:val="001D60D1"/>
    <w:rsid w:val="001E6DC4"/>
    <w:rsid w:val="001F5746"/>
    <w:rsid w:val="00202653"/>
    <w:rsid w:val="002063EA"/>
    <w:rsid w:val="00213A75"/>
    <w:rsid w:val="00222541"/>
    <w:rsid w:val="002444CC"/>
    <w:rsid w:val="00276B65"/>
    <w:rsid w:val="00284324"/>
    <w:rsid w:val="002942C1"/>
    <w:rsid w:val="00295B71"/>
    <w:rsid w:val="002A6D80"/>
    <w:rsid w:val="002C5117"/>
    <w:rsid w:val="002F1996"/>
    <w:rsid w:val="002F4A81"/>
    <w:rsid w:val="002F706E"/>
    <w:rsid w:val="003344E4"/>
    <w:rsid w:val="00346527"/>
    <w:rsid w:val="00360F32"/>
    <w:rsid w:val="00373E25"/>
    <w:rsid w:val="00380D28"/>
    <w:rsid w:val="0038606B"/>
    <w:rsid w:val="00394D42"/>
    <w:rsid w:val="00395539"/>
    <w:rsid w:val="003A5D39"/>
    <w:rsid w:val="003A6A6D"/>
    <w:rsid w:val="003B6DD3"/>
    <w:rsid w:val="003D3595"/>
    <w:rsid w:val="003E2264"/>
    <w:rsid w:val="003E544F"/>
    <w:rsid w:val="003E6C96"/>
    <w:rsid w:val="0044492D"/>
    <w:rsid w:val="004502A4"/>
    <w:rsid w:val="00455C3A"/>
    <w:rsid w:val="004749BE"/>
    <w:rsid w:val="00482C4B"/>
    <w:rsid w:val="004A43D1"/>
    <w:rsid w:val="004A6C5F"/>
    <w:rsid w:val="004D595D"/>
    <w:rsid w:val="004D6756"/>
    <w:rsid w:val="004E1A36"/>
    <w:rsid w:val="004E542C"/>
    <w:rsid w:val="0054333D"/>
    <w:rsid w:val="0054795D"/>
    <w:rsid w:val="00582A17"/>
    <w:rsid w:val="005912EF"/>
    <w:rsid w:val="00593F0C"/>
    <w:rsid w:val="005B5A2C"/>
    <w:rsid w:val="005D106E"/>
    <w:rsid w:val="005E010E"/>
    <w:rsid w:val="005F5198"/>
    <w:rsid w:val="0061319D"/>
    <w:rsid w:val="00624B02"/>
    <w:rsid w:val="00653888"/>
    <w:rsid w:val="006A0950"/>
    <w:rsid w:val="006D54AE"/>
    <w:rsid w:val="006F4ACE"/>
    <w:rsid w:val="0071200B"/>
    <w:rsid w:val="007162DE"/>
    <w:rsid w:val="00741599"/>
    <w:rsid w:val="00750778"/>
    <w:rsid w:val="00782305"/>
    <w:rsid w:val="007824C3"/>
    <w:rsid w:val="007A7435"/>
    <w:rsid w:val="007B1B20"/>
    <w:rsid w:val="007B6469"/>
    <w:rsid w:val="007C65FC"/>
    <w:rsid w:val="007D1794"/>
    <w:rsid w:val="007D5873"/>
    <w:rsid w:val="007E5A57"/>
    <w:rsid w:val="007F70D1"/>
    <w:rsid w:val="00804880"/>
    <w:rsid w:val="0084222B"/>
    <w:rsid w:val="0086775E"/>
    <w:rsid w:val="008C6DD4"/>
    <w:rsid w:val="009101F7"/>
    <w:rsid w:val="00910259"/>
    <w:rsid w:val="009378A4"/>
    <w:rsid w:val="00943E0B"/>
    <w:rsid w:val="00944720"/>
    <w:rsid w:val="00966C16"/>
    <w:rsid w:val="009849BF"/>
    <w:rsid w:val="0098799A"/>
    <w:rsid w:val="0099643F"/>
    <w:rsid w:val="009A1070"/>
    <w:rsid w:val="009A33AB"/>
    <w:rsid w:val="009C76A9"/>
    <w:rsid w:val="00A06334"/>
    <w:rsid w:val="00A1136E"/>
    <w:rsid w:val="00A178F4"/>
    <w:rsid w:val="00A4177A"/>
    <w:rsid w:val="00A53624"/>
    <w:rsid w:val="00A60A12"/>
    <w:rsid w:val="00A66149"/>
    <w:rsid w:val="00A75C09"/>
    <w:rsid w:val="00AB138F"/>
    <w:rsid w:val="00AB7163"/>
    <w:rsid w:val="00AC109B"/>
    <w:rsid w:val="00AC35BE"/>
    <w:rsid w:val="00AD175E"/>
    <w:rsid w:val="00AD3FDF"/>
    <w:rsid w:val="00AF10B7"/>
    <w:rsid w:val="00AF1CF3"/>
    <w:rsid w:val="00AF56CE"/>
    <w:rsid w:val="00B01CC8"/>
    <w:rsid w:val="00B11E07"/>
    <w:rsid w:val="00B222D7"/>
    <w:rsid w:val="00B32DF5"/>
    <w:rsid w:val="00B4733F"/>
    <w:rsid w:val="00B60EA5"/>
    <w:rsid w:val="00B624B5"/>
    <w:rsid w:val="00B71608"/>
    <w:rsid w:val="00B726A4"/>
    <w:rsid w:val="00B84794"/>
    <w:rsid w:val="00B86702"/>
    <w:rsid w:val="00B872D4"/>
    <w:rsid w:val="00BC7552"/>
    <w:rsid w:val="00BD0CCB"/>
    <w:rsid w:val="00BD357C"/>
    <w:rsid w:val="00BE2D5C"/>
    <w:rsid w:val="00BF5F92"/>
    <w:rsid w:val="00C120DF"/>
    <w:rsid w:val="00C1236D"/>
    <w:rsid w:val="00C22032"/>
    <w:rsid w:val="00C623EF"/>
    <w:rsid w:val="00C632BF"/>
    <w:rsid w:val="00C72A00"/>
    <w:rsid w:val="00C867BE"/>
    <w:rsid w:val="00C91FCA"/>
    <w:rsid w:val="00CB2B06"/>
    <w:rsid w:val="00CB41BE"/>
    <w:rsid w:val="00CD10FB"/>
    <w:rsid w:val="00D16ACD"/>
    <w:rsid w:val="00D222C1"/>
    <w:rsid w:val="00D265A5"/>
    <w:rsid w:val="00D417AF"/>
    <w:rsid w:val="00D4619A"/>
    <w:rsid w:val="00D86B25"/>
    <w:rsid w:val="00D92206"/>
    <w:rsid w:val="00DA606F"/>
    <w:rsid w:val="00DB2A06"/>
    <w:rsid w:val="00DD0A75"/>
    <w:rsid w:val="00DD78CC"/>
    <w:rsid w:val="00DE2E4F"/>
    <w:rsid w:val="00DF46A8"/>
    <w:rsid w:val="00E12FCC"/>
    <w:rsid w:val="00E13A65"/>
    <w:rsid w:val="00E27656"/>
    <w:rsid w:val="00E33D51"/>
    <w:rsid w:val="00E41E40"/>
    <w:rsid w:val="00E64288"/>
    <w:rsid w:val="00E908D1"/>
    <w:rsid w:val="00E929D3"/>
    <w:rsid w:val="00E96A63"/>
    <w:rsid w:val="00EA1E80"/>
    <w:rsid w:val="00EC70F4"/>
    <w:rsid w:val="00ED7C4E"/>
    <w:rsid w:val="00EF4B4C"/>
    <w:rsid w:val="00F24152"/>
    <w:rsid w:val="00F419F7"/>
    <w:rsid w:val="00F6552F"/>
    <w:rsid w:val="00F84D23"/>
    <w:rsid w:val="00FA0FE0"/>
    <w:rsid w:val="00FA3ABD"/>
    <w:rsid w:val="00FA4637"/>
    <w:rsid w:val="00FB561A"/>
    <w:rsid w:val="00FF3E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F53D1"/>
  <w15:docId w15:val="{BC3498AB-3228-4BE7-BEA8-D0C508256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D595D"/>
    <w:pPr>
      <w:ind w:left="720"/>
      <w:contextualSpacing/>
    </w:pPr>
  </w:style>
  <w:style w:type="paragraph" w:styleId="Nagwek">
    <w:name w:val="header"/>
    <w:basedOn w:val="Normalny"/>
    <w:link w:val="NagwekZnak"/>
    <w:unhideWhenUsed/>
    <w:rsid w:val="002A6D80"/>
    <w:pPr>
      <w:tabs>
        <w:tab w:val="center" w:pos="4536"/>
        <w:tab w:val="right" w:pos="9072"/>
      </w:tabs>
      <w:spacing w:after="0" w:line="240" w:lineRule="auto"/>
    </w:pPr>
  </w:style>
  <w:style w:type="character" w:customStyle="1" w:styleId="NagwekZnak">
    <w:name w:val="Nagłówek Znak"/>
    <w:basedOn w:val="Domylnaczcionkaakapitu"/>
    <w:link w:val="Nagwek"/>
    <w:rsid w:val="002A6D80"/>
    <w:rPr>
      <w:lang w:val="en-GB"/>
    </w:rPr>
  </w:style>
  <w:style w:type="paragraph" w:styleId="Stopka">
    <w:name w:val="footer"/>
    <w:basedOn w:val="Normalny"/>
    <w:link w:val="StopkaZnak"/>
    <w:uiPriority w:val="99"/>
    <w:unhideWhenUsed/>
    <w:rsid w:val="002A6D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6D80"/>
    <w:rPr>
      <w:lang w:val="en-GB"/>
    </w:rPr>
  </w:style>
  <w:style w:type="paragraph" w:styleId="Tekstdymka">
    <w:name w:val="Balloon Text"/>
    <w:basedOn w:val="Normalny"/>
    <w:link w:val="TekstdymkaZnak"/>
    <w:uiPriority w:val="99"/>
    <w:semiHidden/>
    <w:unhideWhenUsed/>
    <w:rsid w:val="002A6D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D80"/>
    <w:rPr>
      <w:rFonts w:ascii="Tahoma" w:hAnsi="Tahoma" w:cs="Tahoma"/>
      <w:sz w:val="16"/>
      <w:szCs w:val="16"/>
      <w:lang w:val="en-GB"/>
    </w:rPr>
  </w:style>
  <w:style w:type="character" w:styleId="Odwoaniedokomentarza">
    <w:name w:val="annotation reference"/>
    <w:basedOn w:val="Domylnaczcionkaakapitu"/>
    <w:uiPriority w:val="99"/>
    <w:semiHidden/>
    <w:unhideWhenUsed/>
    <w:rsid w:val="00A53624"/>
    <w:rPr>
      <w:sz w:val="16"/>
      <w:szCs w:val="16"/>
    </w:rPr>
  </w:style>
  <w:style w:type="paragraph" w:styleId="Tekstkomentarza">
    <w:name w:val="annotation text"/>
    <w:basedOn w:val="Normalny"/>
    <w:link w:val="TekstkomentarzaZnak"/>
    <w:uiPriority w:val="99"/>
    <w:unhideWhenUsed/>
    <w:rsid w:val="00A53624"/>
    <w:pPr>
      <w:spacing w:line="240" w:lineRule="auto"/>
    </w:pPr>
    <w:rPr>
      <w:sz w:val="20"/>
      <w:szCs w:val="20"/>
    </w:rPr>
  </w:style>
  <w:style w:type="character" w:customStyle="1" w:styleId="TekstkomentarzaZnak">
    <w:name w:val="Tekst komentarza Znak"/>
    <w:basedOn w:val="Domylnaczcionkaakapitu"/>
    <w:link w:val="Tekstkomentarza"/>
    <w:uiPriority w:val="99"/>
    <w:rsid w:val="00A53624"/>
    <w:rPr>
      <w:sz w:val="20"/>
      <w:szCs w:val="20"/>
      <w:lang w:val="en-GB"/>
    </w:rPr>
  </w:style>
  <w:style w:type="paragraph" w:styleId="Tematkomentarza">
    <w:name w:val="annotation subject"/>
    <w:basedOn w:val="Tekstkomentarza"/>
    <w:next w:val="Tekstkomentarza"/>
    <w:link w:val="TematkomentarzaZnak"/>
    <w:uiPriority w:val="99"/>
    <w:semiHidden/>
    <w:unhideWhenUsed/>
    <w:rsid w:val="00A53624"/>
    <w:rPr>
      <w:b/>
      <w:bCs/>
    </w:rPr>
  </w:style>
  <w:style w:type="character" w:customStyle="1" w:styleId="TematkomentarzaZnak">
    <w:name w:val="Temat komentarza Znak"/>
    <w:basedOn w:val="TekstkomentarzaZnak"/>
    <w:link w:val="Tematkomentarza"/>
    <w:uiPriority w:val="99"/>
    <w:semiHidden/>
    <w:rsid w:val="00A53624"/>
    <w:rPr>
      <w:b/>
      <w:bCs/>
      <w:sz w:val="20"/>
      <w:szCs w:val="20"/>
      <w:lang w:val="en-GB"/>
    </w:rPr>
  </w:style>
  <w:style w:type="paragraph" w:styleId="Tekstpodstawowywcity">
    <w:name w:val="Body Text Indent"/>
    <w:basedOn w:val="Normalny"/>
    <w:link w:val="TekstpodstawowywcityZnak"/>
    <w:uiPriority w:val="99"/>
    <w:rsid w:val="00910259"/>
    <w:pPr>
      <w:spacing w:after="120" w:line="240" w:lineRule="auto"/>
      <w:ind w:left="283"/>
    </w:pPr>
    <w:rPr>
      <w:rFonts w:ascii="Times New Roman" w:eastAsia="Times New Roman" w:hAnsi="Times New Roman" w:cs="Times New Roman"/>
      <w:sz w:val="24"/>
      <w:szCs w:val="24"/>
      <w:lang w:val="pl-PL" w:eastAsia="pl-PL"/>
    </w:rPr>
  </w:style>
  <w:style w:type="character" w:customStyle="1" w:styleId="TekstpodstawowywcityZnak">
    <w:name w:val="Tekst podstawowy wcięty Znak"/>
    <w:basedOn w:val="Domylnaczcionkaakapitu"/>
    <w:link w:val="Tekstpodstawowywcity"/>
    <w:uiPriority w:val="99"/>
    <w:rsid w:val="00910259"/>
    <w:rPr>
      <w:rFonts w:ascii="Times New Roman" w:eastAsia="Times New Roman" w:hAnsi="Times New Roman" w:cs="Times New Roman"/>
      <w:sz w:val="24"/>
      <w:szCs w:val="24"/>
      <w:lang w:eastAsia="pl-PL"/>
    </w:rPr>
  </w:style>
  <w:style w:type="paragraph" w:styleId="Poprawka">
    <w:name w:val="Revision"/>
    <w:hidden/>
    <w:uiPriority w:val="99"/>
    <w:semiHidden/>
    <w:rsid w:val="00AF56C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29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B13FC-92ED-4B0C-8374-F6541FF8F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573</Words>
  <Characters>3440</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Gaz-System S.A.</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Anisimowicz Joanna</dc:creator>
  <cp:lastModifiedBy>Łuczak Piotr</cp:lastModifiedBy>
  <cp:revision>4</cp:revision>
  <cp:lastPrinted>2015-11-26T09:38:00Z</cp:lastPrinted>
  <dcterms:created xsi:type="dcterms:W3CDTF">2024-07-09T12:20:00Z</dcterms:created>
  <dcterms:modified xsi:type="dcterms:W3CDTF">2024-07-10T08:29:00Z</dcterms:modified>
</cp:coreProperties>
</file>