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0AA828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21696E">
        <w:rPr>
          <w:rFonts w:ascii="Century Gothic" w:hAnsi="Century Gothic"/>
          <w:bCs/>
          <w:sz w:val="20"/>
          <w:szCs w:val="20"/>
        </w:rPr>
        <w:t xml:space="preserve">zadania </w:t>
      </w:r>
      <w:r w:rsidRPr="0021696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1696E">
        <w:rPr>
          <w:rFonts w:ascii="Century Gothic" w:hAnsi="Century Gothic" w:cs="Arial"/>
          <w:b/>
          <w:bCs/>
          <w:sz w:val="20"/>
          <w:szCs w:val="20"/>
        </w:rPr>
        <w:t>„</w:t>
      </w:r>
      <w:r w:rsidR="00B43F1A" w:rsidRPr="00B43F1A">
        <w:rPr>
          <w:rFonts w:ascii="Century Gothic" w:hAnsi="Century Gothic"/>
          <w:b/>
          <w:bCs/>
          <w:sz w:val="20"/>
        </w:rPr>
        <w:t>Węzeł Dąbrowa Górnicza Tworzeń- wymiana układów regulacyjnych</w:t>
      </w:r>
      <w:r w:rsidR="009A671D" w:rsidRPr="0021696E">
        <w:rPr>
          <w:rFonts w:ascii="Century Gothic" w:hAnsi="Century Gothic"/>
          <w:b/>
          <w:bCs/>
          <w:sz w:val="20"/>
        </w:rPr>
        <w:t>"</w:t>
      </w:r>
      <w:r w:rsidR="00BB3342" w:rsidRPr="0021696E">
        <w:rPr>
          <w:rFonts w:ascii="Century Gothic" w:hAnsi="Century Gothic"/>
          <w:sz w:val="20"/>
        </w:rPr>
        <w:t xml:space="preserve"> </w:t>
      </w:r>
      <w:r w:rsidR="0028703A" w:rsidRPr="0021696E">
        <w:rPr>
          <w:rFonts w:ascii="Century Gothic" w:hAnsi="Century Gothic"/>
          <w:sz w:val="20"/>
        </w:rPr>
        <w:t>– nr</w:t>
      </w:r>
      <w:r w:rsidR="00BB3342" w:rsidRPr="0021696E">
        <w:rPr>
          <w:rFonts w:ascii="Century Gothic" w:hAnsi="Century Gothic"/>
          <w:sz w:val="20"/>
        </w:rPr>
        <w:t> </w:t>
      </w:r>
      <w:r w:rsidR="0028703A" w:rsidRPr="00FE3EAA">
        <w:rPr>
          <w:rFonts w:ascii="Century Gothic" w:hAnsi="Century Gothic"/>
          <w:sz w:val="20"/>
        </w:rPr>
        <w:t xml:space="preserve">postępowania: </w:t>
      </w:r>
      <w:bookmarkEnd w:id="0"/>
      <w:r w:rsidR="00FE3EAA" w:rsidRPr="00FE3EAA">
        <w:rPr>
          <w:rFonts w:ascii="Century Gothic" w:hAnsi="Century Gothic"/>
          <w:sz w:val="20"/>
        </w:rPr>
        <w:t>NP/2024/06/0461/SWI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A519E1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697B28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16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16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0E2B01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5704F6">
        <w:rPr>
          <w:rFonts w:ascii="Century Gothic" w:hAnsi="Century Gothic"/>
          <w:sz w:val="20"/>
          <w:szCs w:val="20"/>
        </w:rPr>
        <w:t xml:space="preserve">Rozdziale VII ust. 2 pkt </w:t>
      </w:r>
      <w:r w:rsidR="005704F6" w:rsidRPr="005704F6">
        <w:rPr>
          <w:rFonts w:ascii="Century Gothic" w:hAnsi="Century Gothic"/>
          <w:sz w:val="20"/>
          <w:szCs w:val="20"/>
        </w:rPr>
        <w:t>3</w:t>
      </w:r>
      <w:r w:rsidRPr="005704F6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74AEE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69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1696E">
      <w:rPr>
        <w:rFonts w:ascii="Century Gothic" w:hAnsi="Century Gothic"/>
        <w:sz w:val="20"/>
        <w:szCs w:val="20"/>
      </w:rPr>
      <w:t xml:space="preserve">Załącznik nr </w:t>
    </w:r>
    <w:r w:rsidR="00CB06AE" w:rsidRPr="0021696E">
      <w:rPr>
        <w:rFonts w:ascii="Century Gothic" w:hAnsi="Century Gothic"/>
        <w:sz w:val="20"/>
        <w:szCs w:val="20"/>
      </w:rPr>
      <w:t>3</w:t>
    </w:r>
    <w:r w:rsidRPr="002169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6E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0AF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4F6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3F1A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E7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EAA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680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10</cp:revision>
  <cp:lastPrinted>2017-04-05T10:47:00Z</cp:lastPrinted>
  <dcterms:created xsi:type="dcterms:W3CDTF">2023-05-05T05:43:00Z</dcterms:created>
  <dcterms:modified xsi:type="dcterms:W3CDTF">2024-06-07T05:51:00Z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