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218E5FFF" w14:textId="77777777" w:rsidR="0013691E" w:rsidRPr="005950E2" w:rsidRDefault="0013691E" w:rsidP="00CD658F">
      <w:pPr>
        <w:spacing w:after="0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 xml:space="preserve">będące Przedmiotem Umowy. </w:t>
      </w:r>
    </w:p>
    <w:p w14:paraId="3113AD64" w14:textId="277C70FE" w:rsidR="0013691E" w:rsidRPr="00CD658F" w:rsidRDefault="00B271A8" w:rsidP="0013691E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11E5D6E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 xml:space="preserve">sunięcia przez Wykonawcę  na  jego  koszt  wad  Przedmiotu  Umowy </w:t>
      </w:r>
      <w:r w:rsidR="00D078DB" w:rsidRPr="00D078DB">
        <w:rPr>
          <w:rFonts w:ascii="Century Gothic" w:hAnsi="Century Gothic"/>
          <w:sz w:val="20"/>
          <w:szCs w:val="20"/>
        </w:rPr>
        <w:t>w terminie  określonym w §</w:t>
      </w:r>
      <w:r w:rsidR="00CD658F">
        <w:rPr>
          <w:rFonts w:ascii="Century Gothic" w:hAnsi="Century Gothic"/>
          <w:sz w:val="20"/>
          <w:szCs w:val="20"/>
        </w:rPr>
        <w:t>6</w:t>
      </w:r>
      <w:r w:rsidR="00D078DB" w:rsidRPr="00D078DB">
        <w:rPr>
          <w:rFonts w:ascii="Century Gothic" w:hAnsi="Century Gothic"/>
          <w:sz w:val="20"/>
          <w:szCs w:val="20"/>
        </w:rPr>
        <w:t xml:space="preserve"> ust. 3  lub</w:t>
      </w:r>
      <w:r w:rsidRPr="00B2663D">
        <w:rPr>
          <w:rFonts w:ascii="Century Gothic" w:hAnsi="Century Gothic"/>
          <w:sz w:val="20"/>
          <w:szCs w:val="20"/>
        </w:rPr>
        <w:t xml:space="preserve"> w</w:t>
      </w:r>
      <w:r w:rsidR="00D078DB">
        <w:rPr>
          <w:rFonts w:ascii="Century Gothic" w:hAnsi="Century Gothic"/>
          <w:sz w:val="20"/>
          <w:szCs w:val="20"/>
        </w:rPr>
        <w:t xml:space="preserve"> innym</w:t>
      </w:r>
      <w:r w:rsidRPr="00B2663D">
        <w:rPr>
          <w:rFonts w:ascii="Century Gothic" w:hAnsi="Century Gothic"/>
          <w:sz w:val="20"/>
          <w:szCs w:val="20"/>
        </w:rPr>
        <w:t xml:space="preserve">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19B6100D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21597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113E3799" w14:textId="2C815DE3" w:rsidR="007A47C5" w:rsidRPr="00CD658F" w:rsidRDefault="00B2663D" w:rsidP="00CD658F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1AE7B337" w14:textId="4C458624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 xml:space="preserve">§ </w:t>
      </w:r>
      <w:r w:rsidR="00CD658F">
        <w:rPr>
          <w:rFonts w:ascii="Century Gothic" w:hAnsi="Century Gothic"/>
          <w:b/>
          <w:sz w:val="20"/>
          <w:szCs w:val="20"/>
        </w:rPr>
        <w:t>6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7927215F" w14:textId="14A0488B" w:rsidR="002C5933" w:rsidRPr="00CD658F" w:rsidRDefault="007A47C5" w:rsidP="00CD658F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6D384314" w14:textId="5685E52C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 xml:space="preserve">§ </w:t>
      </w:r>
      <w:r w:rsidR="00CD658F">
        <w:rPr>
          <w:rFonts w:ascii="Century Gothic" w:hAnsi="Century Gothic"/>
          <w:b/>
          <w:sz w:val="20"/>
          <w:szCs w:val="20"/>
        </w:rPr>
        <w:t>7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0963A2" w14:textId="42B4B5DA" w:rsidR="00C9762D" w:rsidRPr="005950E2" w:rsidRDefault="00C9762D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29B15373" w:rsidR="00926F60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926F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84577" w14:textId="77777777" w:rsidR="001F7EE4" w:rsidRDefault="001F7EE4" w:rsidP="00E45AE9">
      <w:pPr>
        <w:spacing w:after="0" w:line="240" w:lineRule="auto"/>
      </w:pPr>
      <w:r>
        <w:separator/>
      </w:r>
    </w:p>
  </w:endnote>
  <w:endnote w:type="continuationSeparator" w:id="0">
    <w:p w14:paraId="678B17CC" w14:textId="77777777" w:rsidR="001F7EE4" w:rsidRDefault="001F7EE4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E2CE7" w14:textId="77777777" w:rsidR="001F7EE4" w:rsidRDefault="001F7EE4" w:rsidP="00E45AE9">
      <w:pPr>
        <w:spacing w:after="0" w:line="240" w:lineRule="auto"/>
      </w:pPr>
      <w:r>
        <w:separator/>
      </w:r>
    </w:p>
  </w:footnote>
  <w:footnote w:type="continuationSeparator" w:id="0">
    <w:p w14:paraId="621030D6" w14:textId="77777777" w:rsidR="001F7EE4" w:rsidRDefault="001F7EE4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1F7EE4"/>
    <w:rsid w:val="00211791"/>
    <w:rsid w:val="0021507B"/>
    <w:rsid w:val="00215972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D291B"/>
    <w:rsid w:val="002D547E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A39F9"/>
    <w:rsid w:val="004B029B"/>
    <w:rsid w:val="004B4804"/>
    <w:rsid w:val="004B7B0B"/>
    <w:rsid w:val="004C1488"/>
    <w:rsid w:val="004C353F"/>
    <w:rsid w:val="004E7D3F"/>
    <w:rsid w:val="00502071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B0CA9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9762D"/>
    <w:rsid w:val="00CA204C"/>
    <w:rsid w:val="00CB180E"/>
    <w:rsid w:val="00CB4A7B"/>
    <w:rsid w:val="00CB4EBB"/>
    <w:rsid w:val="00CC28A9"/>
    <w:rsid w:val="00CC5319"/>
    <w:rsid w:val="00CD658F"/>
    <w:rsid w:val="00CE58F6"/>
    <w:rsid w:val="00CE627B"/>
    <w:rsid w:val="00D019CE"/>
    <w:rsid w:val="00D078DB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726FF"/>
    <w:rsid w:val="00F75887"/>
    <w:rsid w:val="00F92F08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Pióro Damian</cp:lastModifiedBy>
  <cp:revision>2</cp:revision>
  <cp:lastPrinted>2016-11-21T11:56:00Z</cp:lastPrinted>
  <dcterms:created xsi:type="dcterms:W3CDTF">2024-04-18T13:01:00Z</dcterms:created>
  <dcterms:modified xsi:type="dcterms:W3CDTF">2024-04-18T13:01:00Z</dcterms:modified>
</cp:coreProperties>
</file>