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3C182F29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>- Regulamin przeglądów i konserwacji systemów elektronicznej ochrony obiektów Operatora Gazociągów Przesyłowych S.A. PB-BM-R01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143EC9F5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 </w:t>
      </w:r>
      <w:r w:rsidRPr="002645E4">
        <w:rPr>
          <w:b/>
          <w:bCs/>
          <w:sz w:val="20"/>
          <w:szCs w:val="20"/>
        </w:rPr>
        <w:t>załączniku 1.10</w:t>
      </w:r>
      <w:r w:rsidRPr="002645E4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lastRenderedPageBreak/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lastRenderedPageBreak/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 xml:space="preserve">Regulaminie przeglądów i konserwacji systemów elektronicznej ochrony obiektów Operatora Gazociągów Przesyłowych S.A. </w:t>
      </w:r>
      <w:r w:rsidRPr="0036407F">
        <w:rPr>
          <w:rFonts w:ascii="Century Gothic" w:hAnsi="Century Gothic"/>
          <w:sz w:val="20"/>
          <w:szCs w:val="20"/>
        </w:rPr>
        <w:t>(PB-BM-R01);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4E278606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396C4349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39C9651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373495B1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7C0669" w:rsidRPr="009779B0" w14:paraId="393D6E1E" w14:textId="77777777" w:rsidTr="00864CBC">
        <w:trPr>
          <w:trHeight w:val="2745"/>
        </w:trPr>
        <w:tc>
          <w:tcPr>
            <w:tcW w:w="9464" w:type="dxa"/>
          </w:tcPr>
          <w:p w14:paraId="515AF87A" w14:textId="77777777" w:rsidR="007C0669" w:rsidRPr="00402B01" w:rsidRDefault="007C0669" w:rsidP="00864CBC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29FB30DF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248E989B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0D8131A0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30598D42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768CF769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8FC8091" w14:textId="77777777" w:rsidR="007C0669" w:rsidRPr="009779B0" w:rsidRDefault="007C0669" w:rsidP="00864CBC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29DCF340" w14:textId="77777777" w:rsidR="007C0669" w:rsidRDefault="007C0669" w:rsidP="00864CBC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C6C970C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0CEB7510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3FF6A826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749DA2A0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5E74D8BF" w14:textId="77777777" w:rsidR="007C0669" w:rsidRPr="009779B0" w:rsidRDefault="007C0669" w:rsidP="00864CBC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43AC04B5" w14:textId="77777777" w:rsidR="007C0669" w:rsidRPr="009779B0" w:rsidRDefault="007C0669" w:rsidP="00864CBC">
            <w:pPr>
              <w:rPr>
                <w:b/>
                <w:color w:val="000080"/>
              </w:rPr>
            </w:pPr>
          </w:p>
        </w:tc>
      </w:tr>
    </w:tbl>
    <w:p w14:paraId="04B650FD" w14:textId="77777777" w:rsidR="007C0669" w:rsidRPr="009779B0" w:rsidRDefault="007C0669" w:rsidP="007C0669">
      <w:pPr>
        <w:jc w:val="both"/>
        <w:rPr>
          <w:b/>
        </w:rPr>
      </w:pPr>
    </w:p>
    <w:p w14:paraId="614DB673" w14:textId="77777777" w:rsidR="007C0669" w:rsidRPr="00466CCE" w:rsidRDefault="007C0669" w:rsidP="007C0669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7C0669" w:rsidRPr="00466CCE" w14:paraId="07D1DF39" w14:textId="77777777" w:rsidTr="00864CBC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5D50FC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8D35F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7C0669" w:rsidRPr="00466CCE" w14:paraId="09F15269" w14:textId="77777777" w:rsidTr="00864CBC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6D3CFD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980FE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6643E6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7AE29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7C0669" w:rsidRPr="00466CCE" w14:paraId="51558D2F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F32EC2" w14:textId="77777777" w:rsidR="007C0669" w:rsidRPr="00466CCE" w:rsidRDefault="007C0669" w:rsidP="00864CBC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7C0669" w:rsidRPr="00466CCE" w14:paraId="303F0261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3391" w14:textId="77777777" w:rsidR="007C0669" w:rsidRPr="001307B5" w:rsidRDefault="007C0669" w:rsidP="00864CBC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5264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B5601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F2BC5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6EA891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069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900BC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E0E8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02FE6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15644A3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C912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07F8C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9E6B2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3DD0E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29AC1E1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D78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96049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FAF3A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234B1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31F3C3FB" w14:textId="77777777" w:rsidTr="00864CBC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C73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97A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60199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092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5BBB6B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517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EC5EE8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1BCED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9B759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7C0669" w:rsidRPr="00466CCE" w14:paraId="3F39FC5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4BE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D2195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E32A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B5072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51ACED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1755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D22D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CC7F6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00A60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6C15C0A9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7F92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3D4E4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AE1E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A3CA8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3138BF6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61D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03D9B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8508E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72AFA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68C7DE9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41DB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2694B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E29F3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C48F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0E246DD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C6F6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lastRenderedPageBreak/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49F5D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27E03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92104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05A5E8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E330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39705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8AE6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665C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C161164" w14:textId="77777777" w:rsidTr="00864CBC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E92A79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D0F3E1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0CCE0C4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57B9559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B71302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33B8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B0692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7B1BC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A3098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7C0669" w:rsidRPr="000F6C99" w14:paraId="6FF28F8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FAC3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0C5C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16E2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C248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56FD40D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4699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62E8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3CDC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B2CB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40B382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9EC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EAEA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FD1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328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F24AF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E60A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6FE7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D571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25C0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5DF070A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DE2C" w14:textId="77777777" w:rsidR="007C0669" w:rsidRPr="000F6C9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7C0669" w:rsidRPr="000F6C99" w14:paraId="6D536C4D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E84B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5610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85D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034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6A976F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A967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5AFC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469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F5E8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738FFE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F3F6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FFA3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FAF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47594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AB7FB5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47D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F63DE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18D2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FE61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07451D3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4428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680A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37E5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35F8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8F70B9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E3B1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2E78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9D56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DA24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35BC7F3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6CB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B1E0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C83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F206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F0CC858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A5D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19E9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EDE8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CA82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F0437B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DDCA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F781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F88F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6277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2278931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AE75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6B5F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EA6B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E448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A120985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5B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2894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86BB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A058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47CFB4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D1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264E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4E4A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5B2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CF853A0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FEF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480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DAE38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6F4C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C39C3AB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EDD9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D9E0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14910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C26D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9436D0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4340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4B6B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20A0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7AB4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211A1A9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BCD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F740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21EA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EFA3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5B5F58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CB80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2D80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7297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D88C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376B70F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90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8ACB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5922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026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0CC53FF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052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6EAA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411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E8FB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76489C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226C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8595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7F26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A980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833B9DB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783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DA7D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C70E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3C4D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A3BE4E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FE85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A06B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1530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A3F1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B74904D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C8ABD2" w14:textId="77777777" w:rsidR="007C0669" w:rsidRPr="00E230F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7C0669" w:rsidRPr="000F6C99" w14:paraId="6D787D0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9AF0" w14:textId="77777777" w:rsidR="007C0669" w:rsidRPr="00847E7E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4AF2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0F77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33B5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74513C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7A1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74646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D9AB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6292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404B97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BBD8" w14:textId="77777777" w:rsidR="007C0669" w:rsidRPr="001307B5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0CD450E5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02BB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B0DF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36C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8F6AB7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F8E6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874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0E69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BD85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8AE4A2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C5D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E23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D288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8A7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BCE5F8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57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977A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09B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11F6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F63EF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7EDB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675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87FD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D1F4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69BE0CD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DA3E7B" w14:textId="77777777" w:rsidR="007C0669" w:rsidRPr="000F6C9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7C0669" w:rsidRPr="000F6C99" w14:paraId="0468F4A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1CCC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98F8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5257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9EDE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ED1B2C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E7C2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0CF7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33DA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1FA0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79205C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2F9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BA60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CE64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C2C0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ED1DD92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5E3C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2E23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D173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0A4E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03845E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0CB8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AD12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684A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B0EE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E9F11A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9F45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DCB7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2A2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BF9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B302E81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7BD9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0014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F067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904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0708C1D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C3C" w14:textId="77777777" w:rsidR="007C0669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zadziałania przycisku ewakuacyjnego</w:t>
            </w:r>
          </w:p>
          <w:p w14:paraId="1831CDAE" w14:textId="77777777" w:rsidR="007C0669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49AC448F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EEC3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860F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C575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EB76A9E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BBFBCB" w14:textId="77777777" w:rsidR="007C0669" w:rsidRPr="000F6C99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7C0669" w:rsidRPr="000F6C99" w14:paraId="50F0998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215E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lastRenderedPageBreak/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6D1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6E76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95CF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74C265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4DB9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873D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103C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BC39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4BB074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C4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0015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0038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430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C035A2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D8FA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AD2C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4DB9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9B5E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2047D9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1C60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B6E08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91C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93DC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C84C3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84D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0D8C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93D1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932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BE6E1C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3C9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CA26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F483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18CE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99121A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F001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4263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BBDC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BC63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BD9920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11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A029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228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356E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CB5073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2D7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F2E5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1E7A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1751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D3F8F8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E8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DBFF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B95F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258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332B5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A9F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37C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E0E0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E38B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5009CD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4E12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9DB7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600D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9DA1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02FB97C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8DC0F1" w14:textId="77777777" w:rsidR="007C0669" w:rsidRPr="000F6C99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7C0669" w:rsidRPr="000F6C99" w14:paraId="695D7DF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562" w14:textId="77777777" w:rsidR="007C0669" w:rsidRPr="00F7035B" w:rsidRDefault="007C0669" w:rsidP="00864CBC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FF35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6B6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9D1A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4472B0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3556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8FE7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69CA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9DD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9982E8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65AF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BE8F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5A92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6C09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9AFC17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B83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B105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F21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450E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060912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0559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CE38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079D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027B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5E29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D180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ADBC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EA86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E5C7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AB15F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BAE6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7DB7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AB9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ACFC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00852C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49E9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C5B5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80D0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81D1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7B2A37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B08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0F7C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E46E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34CB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2B3581F8" w14:textId="77777777" w:rsidR="007C0669" w:rsidRDefault="007C0669" w:rsidP="007C0669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3EC7BEFE" w14:textId="77777777" w:rsidR="007C0669" w:rsidRDefault="007C0669" w:rsidP="007C0669">
      <w:pPr>
        <w:ind w:left="357"/>
        <w:jc w:val="both"/>
        <w:rPr>
          <w:i/>
          <w:color w:val="000000"/>
        </w:rPr>
      </w:pPr>
    </w:p>
    <w:p w14:paraId="0FF6DD15" w14:textId="77777777" w:rsidR="007C0669" w:rsidRPr="000F6C99" w:rsidRDefault="007C0669" w:rsidP="007C0669">
      <w:pPr>
        <w:ind w:left="357"/>
        <w:jc w:val="both"/>
        <w:rPr>
          <w:i/>
          <w:color w:val="000000"/>
        </w:rPr>
      </w:pPr>
    </w:p>
    <w:p w14:paraId="0C8C3B0F" w14:textId="77777777" w:rsidR="007C0669" w:rsidRPr="000F6C99" w:rsidRDefault="007C0669" w:rsidP="007C0669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7AC26C69" w14:textId="77777777" w:rsidR="007C0669" w:rsidRPr="009779B0" w:rsidRDefault="007C0669" w:rsidP="007C0669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lastRenderedPageBreak/>
        <w:t>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0FC600AB" w14:textId="77777777" w:rsidR="007C0669" w:rsidRPr="00A811B3" w:rsidRDefault="007C0669" w:rsidP="007C0669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3A1451CD" w14:textId="77777777" w:rsidR="007C0669" w:rsidRPr="009779B0" w:rsidRDefault="007C0669" w:rsidP="007C0669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892E95C" w14:textId="77777777" w:rsidR="007C0669" w:rsidRPr="00A77BB4" w:rsidRDefault="007C0669" w:rsidP="007C0669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770F37A0" w14:textId="77777777" w:rsidR="007C0669" w:rsidRPr="00A77BB4" w:rsidRDefault="007C0669" w:rsidP="007C0669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1DD5E0B9" w14:textId="77777777" w:rsidR="007C0669" w:rsidRPr="00A77BB4" w:rsidRDefault="007C0669" w:rsidP="007C0669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7C0669" w:rsidRPr="00C94F07" w14:paraId="08AC3CDE" w14:textId="77777777" w:rsidTr="00864CBC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311AECC1" w14:textId="77777777" w:rsidR="007C0669" w:rsidRPr="00713403" w:rsidRDefault="007C0669" w:rsidP="00864CBC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F96FE4" w14:textId="77777777" w:rsidR="007C0669" w:rsidRPr="00A77BB4" w:rsidRDefault="007C0669" w:rsidP="00864C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2C467E7B" w14:textId="77777777" w:rsidR="007C0669" w:rsidRPr="00C94F07" w:rsidRDefault="007C0669" w:rsidP="00864CBC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276F09E1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9DAC45E" w14:textId="77777777" w:rsidR="007C0669" w:rsidRPr="00A77BB4" w:rsidRDefault="007C0669" w:rsidP="00864C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7C0669" w:rsidRPr="00C94F07" w14:paraId="460FC9C1" w14:textId="77777777" w:rsidTr="00864CBC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2A7C7A5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A2EB39" w14:textId="77777777" w:rsidR="007C0669" w:rsidRPr="00C94F07" w:rsidRDefault="007C0669" w:rsidP="00864CBC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A269ADC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5F19E36A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6BBD72A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3A4F3B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AFE76A2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13F719C3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F364D0B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36A2A5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80A7354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4B21CE50" w14:textId="77777777" w:rsidTr="00864CBC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9A402D1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0CCF82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A81A849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462981C1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AF4AC13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7A4D03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9E94C86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22977A1C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4163911F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C31B18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F3307A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</w:tbl>
    <w:p w14:paraId="28344A15" w14:textId="77777777" w:rsidR="007C0669" w:rsidRPr="000A0D7C" w:rsidRDefault="007C0669" w:rsidP="007C0669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790ACD29" w14:textId="77777777" w:rsidR="007C0669" w:rsidRDefault="007C0669" w:rsidP="007C0669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2E6D8D50" w14:textId="77777777" w:rsidR="007C0669" w:rsidRPr="00A77BB4" w:rsidRDefault="007C0669" w:rsidP="007C0669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3BD313CC" w14:textId="77777777" w:rsidR="007C0669" w:rsidRDefault="007C0669" w:rsidP="007C0669">
      <w:pPr>
        <w:spacing w:before="40"/>
        <w:rPr>
          <w:color w:val="000000"/>
        </w:rPr>
      </w:pPr>
    </w:p>
    <w:p w14:paraId="2BAB5BDE" w14:textId="77777777" w:rsidR="007C0669" w:rsidRPr="000A0D7C" w:rsidRDefault="007C0669" w:rsidP="007C0669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77777777" w:rsidR="007C0669" w:rsidRPr="006B40F1" w:rsidRDefault="007C0669" w:rsidP="007C0669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5DF515DE" w:rsidR="00B77663" w:rsidRPr="001E20CC" w:rsidRDefault="00B77663" w:rsidP="00531B64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Załącznik nr 2.9.2.2 –„Protokół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77777777" w:rsidR="00C200ED" w:rsidRPr="004E6421" w:rsidRDefault="00C200ED" w:rsidP="00C200ED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77777777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77777777" w:rsidR="00C200ED" w:rsidRPr="006E3726" w:rsidRDefault="00C200ED" w:rsidP="00864C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77777777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77777777" w:rsidR="00C200ED" w:rsidRPr="006E3726" w:rsidRDefault="00C200ED" w:rsidP="00864C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77777777" w:rsidR="00C200ED" w:rsidRPr="00920E07" w:rsidRDefault="00C200ED" w:rsidP="00864C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77777777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7777777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77777777" w:rsidR="00C200ED" w:rsidRDefault="00C200ED" w:rsidP="00864C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77777777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6F0CE680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F3B522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7777777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DE171C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D720D5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4136C0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77777777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7777777" w:rsidR="00C200ED" w:rsidRPr="00490782" w:rsidRDefault="00C200ED" w:rsidP="00864C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22C9A5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42AC451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37BA2BCC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C2EF8D0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lastRenderedPageBreak/>
              <w:t xml:space="preserve">Skład brygady usuwającej usterkę </w:t>
            </w:r>
          </w:p>
          <w:p w14:paraId="4FCB7947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DDB98F2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19CCCCDD" w14:textId="77777777" w:rsidR="00C200ED" w:rsidRDefault="00C200ED" w:rsidP="00864C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70BB9DD2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7777777" w:rsidR="00C200ED" w:rsidRPr="007A51C2" w:rsidRDefault="00C200ED" w:rsidP="00864C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77777777" w:rsidR="00C200ED" w:rsidRPr="001B1DA9" w:rsidRDefault="00C200ED" w:rsidP="00864C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342C6B6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77777777" w:rsidR="00C200ED" w:rsidRDefault="00C200ED" w:rsidP="00C200ED">
      <w:pPr>
        <w:jc w:val="right"/>
        <w:rPr>
          <w:b/>
          <w:i/>
          <w:u w:val="single"/>
        </w:rPr>
      </w:pPr>
    </w:p>
    <w:p w14:paraId="2515594B" w14:textId="77777777" w:rsidR="00C200ED" w:rsidRPr="008E108F" w:rsidRDefault="00C200ED" w:rsidP="00C200ED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2E97" w14:textId="77777777" w:rsidR="00682B69" w:rsidRDefault="00682B69" w:rsidP="00E45AE9">
      <w:pPr>
        <w:spacing w:after="0" w:line="240" w:lineRule="auto"/>
      </w:pPr>
      <w:r>
        <w:separator/>
      </w:r>
    </w:p>
  </w:endnote>
  <w:endnote w:type="continuationSeparator" w:id="0">
    <w:p w14:paraId="3457BD8A" w14:textId="77777777" w:rsidR="00682B69" w:rsidRDefault="00682B69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19254" w14:textId="77777777" w:rsidR="00682B69" w:rsidRDefault="00682B69" w:rsidP="00E45AE9">
      <w:pPr>
        <w:spacing w:after="0" w:line="240" w:lineRule="auto"/>
      </w:pPr>
      <w:r>
        <w:separator/>
      </w:r>
    </w:p>
  </w:footnote>
  <w:footnote w:type="continuationSeparator" w:id="0">
    <w:p w14:paraId="7F7C36A2" w14:textId="77777777" w:rsidR="00682B69" w:rsidRDefault="00682B69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D291B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6243</Words>
  <Characters>37463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Tomasz Sidor</cp:lastModifiedBy>
  <cp:revision>3</cp:revision>
  <cp:lastPrinted>2016-11-21T11:56:00Z</cp:lastPrinted>
  <dcterms:created xsi:type="dcterms:W3CDTF">2023-08-22T09:15:00Z</dcterms:created>
  <dcterms:modified xsi:type="dcterms:W3CDTF">2023-08-22T09:17:00Z</dcterms:modified>
</cp:coreProperties>
</file>