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9"/>
        <w:gridCol w:w="6415"/>
      </w:tblGrid>
      <w:tr w:rsidR="00B11D28" w:rsidRPr="00B11D28" w14:paraId="02C14DDC" w14:textId="77777777" w:rsidTr="00B11D28">
        <w:trPr>
          <w:trHeight w:val="42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6AC75A" w14:textId="382E9E36" w:rsidR="00B11D28" w:rsidRPr="00B11D28" w:rsidRDefault="00B11D28" w:rsidP="00B11D28">
            <w:pPr>
              <w:spacing w:after="0" w:line="276" w:lineRule="auto"/>
              <w:jc w:val="right"/>
              <w:rPr>
                <w:rFonts w:ascii="Century Gothic" w:eastAsia="Times New Roman" w:hAnsi="Century Gothic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bCs/>
                <w:kern w:val="0"/>
                <w:sz w:val="24"/>
                <w:szCs w:val="24"/>
                <w14:ligatures w14:val="none"/>
              </w:rPr>
              <w:t>Załącznik nr 1</w:t>
            </w:r>
            <w:r>
              <w:rPr>
                <w:rFonts w:ascii="Century Gothic" w:eastAsia="Times New Roman" w:hAnsi="Century Gothic" w:cs="Times New Roman"/>
                <w:b/>
                <w:bCs/>
                <w:kern w:val="0"/>
                <w:sz w:val="24"/>
                <w:szCs w:val="24"/>
                <w14:ligatures w14:val="none"/>
              </w:rPr>
              <w:t>.1</w:t>
            </w:r>
            <w:r w:rsidRPr="00B11D28">
              <w:rPr>
                <w:rFonts w:ascii="Century Gothic" w:eastAsia="Times New Roman" w:hAnsi="Century Gothic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106EB924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bCs/>
                <w:kern w:val="0"/>
                <w:sz w:val="24"/>
                <w:szCs w:val="24"/>
                <w14:ligatures w14:val="none"/>
              </w:rPr>
              <w:t>Wykaz elementów obiektu infrastruktury przesyłowej</w:t>
            </w:r>
          </w:p>
        </w:tc>
      </w:tr>
      <w:tr w:rsidR="00B11D28" w:rsidRPr="00B11D28" w14:paraId="11E7EEEF" w14:textId="77777777" w:rsidTr="00B11D28">
        <w:trPr>
          <w:trHeight w:val="33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491BD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kern w:val="0"/>
                <w:sz w:val="24"/>
                <w:szCs w:val="24"/>
                <w14:ligatures w14:val="none"/>
              </w:rPr>
              <w:t>Dane Podstawowe</w:t>
            </w:r>
          </w:p>
        </w:tc>
      </w:tr>
      <w:tr w:rsidR="00B11D28" w:rsidRPr="00B11D28" w14:paraId="03D31187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60731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Nazwa obiektu w zakresie rozbiórki i budowy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E9767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 xml:space="preserve">Mszczonów </w:t>
            </w:r>
          </w:p>
        </w:tc>
      </w:tr>
      <w:tr w:rsidR="00B11D28" w:rsidRPr="00B11D28" w14:paraId="1F802E33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429FB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Rodzaj obiektu w zakresie rozbiórki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B5607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 xml:space="preserve">Stacja gazowa redukcyjno – pomiarowa </w:t>
            </w:r>
          </w:p>
        </w:tc>
      </w:tr>
      <w:tr w:rsidR="00B11D28" w:rsidRPr="00B11D28" w14:paraId="54ED8C13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92456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Rodzaj obiektu w zakresie budowy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3A77F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 xml:space="preserve">Stacja gazowa </w:t>
            </w:r>
            <w:proofErr w:type="spellStart"/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regulacyjno</w:t>
            </w:r>
            <w:proofErr w:type="spellEnd"/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 xml:space="preserve"> – pomiarowa </w:t>
            </w:r>
          </w:p>
        </w:tc>
      </w:tr>
      <w:tr w:rsidR="00B11D28" w:rsidRPr="00B11D28" w14:paraId="4AA5D879" w14:textId="77777777" w:rsidTr="00B11D28">
        <w:trPr>
          <w:trHeight w:val="33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3A60B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kern w:val="0"/>
                <w:sz w:val="24"/>
                <w:szCs w:val="24"/>
                <w14:ligatures w14:val="none"/>
              </w:rPr>
              <w:t xml:space="preserve">Lokalizacja </w:t>
            </w:r>
          </w:p>
        </w:tc>
      </w:tr>
      <w:tr w:rsidR="00B11D28" w:rsidRPr="00B11D28" w14:paraId="57EFED92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E8A0C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Województwo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2E45F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mazowieckie</w:t>
            </w:r>
          </w:p>
        </w:tc>
      </w:tr>
      <w:tr w:rsidR="00B11D28" w:rsidRPr="00B11D28" w14:paraId="6AF29813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9EACF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Powiat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1C8D7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żyrardowski</w:t>
            </w:r>
          </w:p>
        </w:tc>
      </w:tr>
      <w:tr w:rsidR="00B11D28" w:rsidRPr="00B11D28" w14:paraId="55EE117E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1050A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Gmina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B3F74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143802_4</w:t>
            </w:r>
          </w:p>
        </w:tc>
      </w:tr>
      <w:tr w:rsidR="00B11D28" w:rsidRPr="00B11D28" w14:paraId="07408A02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1EC23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Miejscowość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CBAA2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Mszczonów - Miasto</w:t>
            </w:r>
          </w:p>
        </w:tc>
      </w:tr>
      <w:tr w:rsidR="00B11D28" w:rsidRPr="00B11D28" w14:paraId="1B0FE2F5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B2832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Ulica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1EC38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Mszczonowska</w:t>
            </w:r>
          </w:p>
        </w:tc>
      </w:tr>
      <w:tr w:rsidR="00B11D28" w:rsidRPr="00B11D28" w14:paraId="4345B7A9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296D6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nr ew. działki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174AB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1</w:t>
            </w:r>
            <w:r w:rsidRPr="00B1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47/1</w:t>
            </w:r>
          </w:p>
        </w:tc>
      </w:tr>
      <w:tr w:rsidR="00B11D28" w:rsidRPr="00B11D28" w14:paraId="0B7FCABD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3ABD4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obręb ewidencyjny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3D142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Nr 0001, Obręb 1</w:t>
            </w:r>
          </w:p>
        </w:tc>
      </w:tr>
      <w:tr w:rsidR="00B11D28" w:rsidRPr="00B11D28" w14:paraId="4EA5B9F3" w14:textId="77777777" w:rsidTr="00B11D28">
        <w:trPr>
          <w:trHeight w:val="330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16E94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Stan prawny gruntu(ogrodzony teren stacji z drogą dojazdową)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C0D44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użytkowanie wieczyste</w:t>
            </w:r>
          </w:p>
        </w:tc>
      </w:tr>
      <w:tr w:rsidR="00B11D28" w:rsidRPr="00B11D28" w14:paraId="69978B5C" w14:textId="77777777" w:rsidTr="00B11D28">
        <w:trPr>
          <w:trHeight w:val="674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8DB9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Rodzaj dokumentu określający stan prawny gruntu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8C201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:sz w:val="24"/>
                <w:szCs w:val="24"/>
                <w14:ligatures w14:val="none"/>
              </w:rPr>
              <w:t>Repertorium A Nr 2661/2022,   KW PL1Z/00045778/3</w:t>
            </w:r>
          </w:p>
        </w:tc>
      </w:tr>
    </w:tbl>
    <w:p w14:paraId="75CA30F2" w14:textId="77777777" w:rsidR="00B11D28" w:rsidRPr="00B11D28" w:rsidRDefault="00B11D28" w:rsidP="00B11D28">
      <w:pPr>
        <w:spacing w:after="0" w:line="276" w:lineRule="auto"/>
        <w:ind w:left="426"/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</w:pPr>
    </w:p>
    <w:p w14:paraId="68C49CA9" w14:textId="77777777" w:rsidR="00B11D28" w:rsidRPr="00B11D28" w:rsidRDefault="00B11D28" w:rsidP="00B11D28">
      <w:pPr>
        <w:tabs>
          <w:tab w:val="left" w:pos="8295"/>
        </w:tabs>
        <w:spacing w:after="0" w:line="240" w:lineRule="auto"/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</w:pPr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933"/>
        <w:gridCol w:w="2989"/>
        <w:gridCol w:w="994"/>
        <w:gridCol w:w="6462"/>
      </w:tblGrid>
      <w:tr w:rsidR="00B11D28" w:rsidRPr="00B11D28" w14:paraId="35F39973" w14:textId="77777777" w:rsidTr="00B11D28">
        <w:trPr>
          <w:trHeight w:val="88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FD33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  <w:t>L.p.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6664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  <w:t>Układ obiektu infrastruktury przesyłowej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F480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  <w:t>Nazwa elementu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BB2D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  <w:t>Zakres prac*</w:t>
            </w: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DAB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  <w:t>Uwagi</w:t>
            </w:r>
          </w:p>
          <w:p w14:paraId="37AAFE89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kern w:val="0"/>
                <w14:ligatures w14:val="none"/>
              </w:rPr>
              <w:t>Zakres techniczny zamówienia</w:t>
            </w:r>
          </w:p>
        </w:tc>
      </w:tr>
      <w:tr w:rsidR="00B11D28" w:rsidRPr="00B11D28" w14:paraId="4BA9D18D" w14:textId="77777777" w:rsidTr="00B11D28">
        <w:trPr>
          <w:trHeight w:val="5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95C9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2506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Kontener układu pomiarowego, układu redukcji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2B53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  <w:t>Dach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0E851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Reg.</w:t>
            </w: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4B1C" w14:textId="77777777" w:rsidR="00B11D28" w:rsidRPr="00B11D28" w:rsidRDefault="00B11D28" w:rsidP="00B11D28">
            <w:pPr>
              <w:spacing w:after="0" w:line="276" w:lineRule="auto"/>
              <w:ind w:left="31" w:hanging="15"/>
              <w:contextualSpacing/>
              <w:rPr>
                <w:rFonts w:ascii="Century Gothic" w:eastAsia="Times New Roman" w:hAnsi="Century Gothic" w:cs="Times New Roman"/>
              </w:rPr>
            </w:pPr>
            <w:bookmarkStart w:id="0" w:name="_Hlk148347770"/>
            <w:r w:rsidRPr="00B11D28">
              <w:rPr>
                <w:rFonts w:ascii="Century Gothic" w:eastAsia="Times New Roman" w:hAnsi="Century Gothic" w:cs="Times New Roman"/>
              </w:rPr>
              <w:t>Wykonanie dodatkowej ramy podtrzymującej dach oraz wymianę płyt dachu na kontenerze układu pomiarowego:</w:t>
            </w:r>
          </w:p>
          <w:p w14:paraId="6E874949" w14:textId="77777777" w:rsidR="00B11D28" w:rsidRPr="00B11D28" w:rsidRDefault="00B11D28" w:rsidP="00B11D28">
            <w:pPr>
              <w:numPr>
                <w:ilvl w:val="0"/>
                <w:numId w:val="1"/>
              </w:numPr>
              <w:spacing w:after="0" w:line="276" w:lineRule="auto"/>
              <w:ind w:left="314"/>
              <w:contextualSpacing/>
              <w:rPr>
                <w:rFonts w:ascii="Century Gothic" w:eastAsia="Times New Roman" w:hAnsi="Century Gothic" w:cs="Times New Roman"/>
              </w:rPr>
            </w:pPr>
            <w:r w:rsidRPr="00B11D28">
              <w:rPr>
                <w:rFonts w:ascii="Century Gothic" w:eastAsia="Times New Roman" w:hAnsi="Century Gothic" w:cs="Times New Roman"/>
              </w:rPr>
              <w:t xml:space="preserve">Należy dokładnie zapoznać się ze stanem dachu i dokonać wyboru odpowiednich materiałów oraz </w:t>
            </w:r>
            <w:r w:rsidRPr="00B11D28">
              <w:rPr>
                <w:rFonts w:ascii="Century Gothic" w:eastAsia="Times New Roman" w:hAnsi="Century Gothic" w:cs="Times New Roman"/>
              </w:rPr>
              <w:lastRenderedPageBreak/>
              <w:t>technologii robót. Należy zamontować dodatkową ramę podtrzymującą dach wykonaną ze stalowych rur kwadratowych.</w:t>
            </w:r>
          </w:p>
          <w:p w14:paraId="571366BC" w14:textId="77777777" w:rsidR="00B11D28" w:rsidRPr="00B11D28" w:rsidRDefault="00B11D28" w:rsidP="00B11D28">
            <w:pPr>
              <w:numPr>
                <w:ilvl w:val="0"/>
                <w:numId w:val="1"/>
              </w:numPr>
              <w:spacing w:after="0" w:line="276" w:lineRule="auto"/>
              <w:ind w:left="314"/>
              <w:contextualSpacing/>
              <w:rPr>
                <w:rFonts w:ascii="Century Gothic" w:eastAsia="Times New Roman" w:hAnsi="Century Gothic" w:cs="Times New Roman"/>
              </w:rPr>
            </w:pPr>
            <w:r w:rsidRPr="00B11D28">
              <w:rPr>
                <w:rFonts w:ascii="Century Gothic" w:eastAsia="Times New Roman" w:hAnsi="Century Gothic" w:cs="Times New Roman"/>
              </w:rPr>
              <w:t>Bezpośrednio przed przystąpieniem do prac wykonać pomiary istniejącej konstrukcji kontenerów i pokrycia dachowego, wielkość spadków połaci dachu oraz przygotować wykaz stali profilowej i ilość płyt dachowych.</w:t>
            </w:r>
          </w:p>
          <w:p w14:paraId="1E5925D2" w14:textId="77777777" w:rsidR="00B11D28" w:rsidRPr="00B11D28" w:rsidRDefault="00B11D28" w:rsidP="00B11D28">
            <w:pPr>
              <w:numPr>
                <w:ilvl w:val="0"/>
                <w:numId w:val="1"/>
              </w:numPr>
              <w:spacing w:after="0" w:line="276" w:lineRule="auto"/>
              <w:ind w:left="314"/>
              <w:contextualSpacing/>
              <w:rPr>
                <w:rFonts w:ascii="Century Gothic" w:eastAsia="Times New Roman" w:hAnsi="Century Gothic" w:cs="Times New Roman"/>
              </w:rPr>
            </w:pPr>
            <w:r w:rsidRPr="00B11D28">
              <w:rPr>
                <w:rFonts w:ascii="Century Gothic" w:eastAsia="Times New Roman" w:hAnsi="Century Gothic" w:cs="Times New Roman"/>
              </w:rPr>
              <w:t>Wymiana wszystkich obróbek blacharskich zdemontowanych przy wymianie płyt dachowych.</w:t>
            </w:r>
            <w:bookmarkEnd w:id="0"/>
          </w:p>
          <w:p w14:paraId="5D0CB5DD" w14:textId="77777777" w:rsidR="00B11D28" w:rsidRPr="00B11D28" w:rsidRDefault="00B11D28" w:rsidP="00B11D28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D28">
              <w:rPr>
                <w:rFonts w:ascii="Century Gothic" w:eastAsia="Times New Roman" w:hAnsi="Century Gothic" w:cs="Times New Roman"/>
                <w:b/>
                <w:bCs/>
              </w:rPr>
              <w:t>Zdemontowane podpory oraz belki podtrzymujące dach w kontenerze układu pomiarowego należy zwrócić do Operator Gazociągów Przesyłowych GAZ-SYSTEM S.A. Oddział w Rembelszczyźnie.</w:t>
            </w:r>
          </w:p>
        </w:tc>
      </w:tr>
      <w:tr w:rsidR="00B11D28" w:rsidRPr="00B11D28" w14:paraId="3D8CFEDA" w14:textId="77777777" w:rsidTr="00B11D28">
        <w:trPr>
          <w:trHeight w:val="5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E823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lastRenderedPageBreak/>
              <w:t>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5F5B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Kontenery:</w:t>
            </w:r>
          </w:p>
          <w:p w14:paraId="31ACFB54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proofErr w:type="spellStart"/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Nawanialni</w:t>
            </w:r>
            <w:proofErr w:type="spellEnd"/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,</w:t>
            </w:r>
          </w:p>
          <w:p w14:paraId="5432941D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Kotłowni</w:t>
            </w:r>
          </w:p>
          <w:p w14:paraId="33690B21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proofErr w:type="spellStart"/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AKPiA</w:t>
            </w:r>
            <w:proofErr w:type="spellEnd"/>
          </w:p>
          <w:p w14:paraId="5FDCCEB9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</w:p>
          <w:p w14:paraId="34F371F7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D3A3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  <w:t>Dach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1C48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Reg.</w:t>
            </w: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F0F7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 xml:space="preserve">Oczyścić z roślinności oraz innych zabrudzeń sprawdzić pod względem nieszczelności i w razie potrzeby uszczelnić. </w:t>
            </w:r>
          </w:p>
          <w:p w14:paraId="2695027B" w14:textId="77777777" w:rsidR="00B11D28" w:rsidRPr="00B11D28" w:rsidRDefault="00B11D28" w:rsidP="00B11D28">
            <w:pPr>
              <w:spacing w:after="0" w:line="276" w:lineRule="auto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Udrożnić rynny i rury odprowadzające deszczówkę.</w:t>
            </w:r>
          </w:p>
        </w:tc>
      </w:tr>
      <w:tr w:rsidR="00B11D28" w:rsidRPr="00B11D28" w14:paraId="7F35FBBF" w14:textId="77777777" w:rsidTr="00B11D28">
        <w:trPr>
          <w:trHeight w:val="5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C6B0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3172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Kontenery stacji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9E47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  <w:t>Konstrukcja, obudowa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0F03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Reg.</w:t>
            </w: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E4CB" w14:textId="77777777" w:rsidR="00B11D28" w:rsidRPr="00B11D28" w:rsidRDefault="00B11D28" w:rsidP="00B11D28">
            <w:pPr>
              <w:spacing w:after="0" w:line="276" w:lineRule="auto"/>
              <w:ind w:left="34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 xml:space="preserve">Wykonanie miejscowej renowacji antykorozyjnych powłok malarskich konstrukcji stalowych oraz  ścian kontenerów. </w:t>
            </w:r>
          </w:p>
          <w:p w14:paraId="49501F94" w14:textId="77777777" w:rsidR="00B11D28" w:rsidRPr="00B11D28" w:rsidRDefault="00B11D28" w:rsidP="00B11D28">
            <w:pPr>
              <w:spacing w:after="0" w:line="276" w:lineRule="auto"/>
              <w:ind w:left="34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Oczyścić i zabezpieczyć tylko miejsca występowania korozji.</w:t>
            </w:r>
          </w:p>
          <w:p w14:paraId="21D856D2" w14:textId="77777777" w:rsidR="00B11D28" w:rsidRPr="00B11D28" w:rsidRDefault="00B11D28" w:rsidP="00B11D28">
            <w:pPr>
              <w:spacing w:after="0" w:line="276" w:lineRule="auto"/>
              <w:ind w:left="34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Kolor powłoki zabezpieczającej dobrać do istniejącej kolorystyki elementów.</w:t>
            </w:r>
          </w:p>
          <w:p w14:paraId="038778E8" w14:textId="77777777" w:rsidR="00B11D28" w:rsidRPr="00B11D28" w:rsidRDefault="00B11D28" w:rsidP="00B11D28">
            <w:pPr>
              <w:spacing w:after="0" w:line="276" w:lineRule="auto"/>
              <w:ind w:left="34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W kontenerze układu redukcji należy wspawać dodatkową belkę nadproża drzwiowego w celu wzmocnienia skorodowanej istniejącej belki.</w:t>
            </w:r>
          </w:p>
        </w:tc>
      </w:tr>
      <w:tr w:rsidR="00B11D28" w:rsidRPr="00B11D28" w14:paraId="7A8C6021" w14:textId="77777777" w:rsidTr="00B11D28">
        <w:trPr>
          <w:trHeight w:val="5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D9AD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B577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Kontenery:</w:t>
            </w:r>
          </w:p>
          <w:p w14:paraId="32DC541F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Układu redukcji,</w:t>
            </w:r>
          </w:p>
          <w:p w14:paraId="49940473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Układu pomiarowego,</w:t>
            </w:r>
          </w:p>
          <w:p w14:paraId="4E7B8BCA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Kotłowni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A051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  <w:t>Podłoga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3EC1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Reg.</w:t>
            </w: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71B8" w14:textId="77777777" w:rsidR="00B11D28" w:rsidRPr="00B11D28" w:rsidRDefault="00B11D28" w:rsidP="00B11D28">
            <w:pPr>
              <w:spacing w:before="240" w:after="0" w:line="276" w:lineRule="auto"/>
              <w:ind w:left="35"/>
              <w:contextualSpacing/>
              <w:jc w:val="both"/>
              <w:rPr>
                <w:rFonts w:ascii="Century Gothic" w:eastAsia="Times New Roman" w:hAnsi="Century Gothic" w:cs="Times New Roman"/>
              </w:rPr>
            </w:pPr>
            <w:r w:rsidRPr="00B11D28">
              <w:rPr>
                <w:rFonts w:ascii="Century Gothic" w:eastAsia="Times New Roman" w:hAnsi="Century Gothic" w:cs="Times New Roman"/>
              </w:rPr>
              <w:t xml:space="preserve">Usunięcie istniejącej posadzki betonowej gr. 10cm, </w:t>
            </w:r>
            <w:proofErr w:type="spellStart"/>
            <w:r w:rsidRPr="00B11D28">
              <w:rPr>
                <w:rFonts w:ascii="Century Gothic" w:eastAsia="Times New Roman" w:hAnsi="Century Gothic" w:cs="Times New Roman"/>
              </w:rPr>
              <w:t>wykorytowanie</w:t>
            </w:r>
            <w:proofErr w:type="spellEnd"/>
            <w:r w:rsidRPr="00B11D28">
              <w:rPr>
                <w:rFonts w:ascii="Century Gothic" w:eastAsia="Times New Roman" w:hAnsi="Century Gothic" w:cs="Times New Roman"/>
              </w:rPr>
              <w:t xml:space="preserve"> wnętrza kontenerów na głębokość 10cm. Zagęszczenie podłoża gruntowego, wykonanie podkładu betonowego gr. 8cm (Beton C16/20), ułożenie warstwy izolacji przeciwwilgociowej z papy, wykonanie szlichty betonowej gr. 8cm zbrojonej siatką prętów stalowych Ø2 w rozstawie 150/150.  Wykonanie posadzki antyelektrostatycznej z płytek oraz wykonanie pomiarów potwierdzających antyelektrostatyczność.</w:t>
            </w:r>
          </w:p>
        </w:tc>
      </w:tr>
      <w:tr w:rsidR="00B11D28" w:rsidRPr="00B11D28" w14:paraId="6417B616" w14:textId="77777777" w:rsidTr="00B11D28">
        <w:trPr>
          <w:trHeight w:val="5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0CC58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5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3DA3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Kotłownia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5ED3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bCs/>
                <w:kern w:val="0"/>
                <w14:ligatures w14:val="none"/>
              </w:rPr>
              <w:t>Kocioł gazowy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7881" w14:textId="77777777" w:rsidR="00B11D28" w:rsidRPr="00B11D28" w:rsidRDefault="00B11D28" w:rsidP="00B11D28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kern w:val="0"/>
                <w14:ligatures w14:val="none"/>
              </w:rPr>
            </w:pPr>
            <w:r w:rsidRPr="00B11D28">
              <w:rPr>
                <w:rFonts w:ascii="Century Gothic" w:eastAsia="Times New Roman" w:hAnsi="Century Gothic" w:cs="Times New Roman"/>
                <w:kern w:val="0"/>
                <w14:ligatures w14:val="none"/>
              </w:rPr>
              <w:t>W</w:t>
            </w: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BB04" w14:textId="77777777" w:rsidR="00B11D28" w:rsidRPr="00B11D28" w:rsidRDefault="00B11D28" w:rsidP="00B11D28">
            <w:pPr>
              <w:spacing w:before="240" w:after="240" w:line="276" w:lineRule="auto"/>
              <w:ind w:left="35" w:firstLine="4"/>
              <w:contextualSpacing/>
              <w:rPr>
                <w:rFonts w:ascii="Century Gothic" w:eastAsia="Times New Roman" w:hAnsi="Century Gothic" w:cs="Times New Roman"/>
              </w:rPr>
            </w:pPr>
            <w:r w:rsidRPr="00B11D28">
              <w:rPr>
                <w:rFonts w:ascii="Century Gothic" w:eastAsia="Times New Roman" w:hAnsi="Century Gothic" w:cs="Times New Roman"/>
              </w:rPr>
              <w:t xml:space="preserve">Dokonać wymiany kotła gazowego na nowy. </w:t>
            </w:r>
          </w:p>
          <w:p w14:paraId="099D4D3E" w14:textId="77777777" w:rsidR="00B11D28" w:rsidRPr="00B11D28" w:rsidRDefault="00B11D28" w:rsidP="00B11D28">
            <w:pPr>
              <w:spacing w:before="240" w:after="240" w:line="276" w:lineRule="auto"/>
              <w:ind w:left="35" w:firstLine="4"/>
              <w:contextualSpacing/>
              <w:rPr>
                <w:rFonts w:ascii="Century Gothic" w:eastAsia="Times New Roman" w:hAnsi="Century Gothic" w:cs="Times New Roman"/>
              </w:rPr>
            </w:pPr>
            <w:r w:rsidRPr="00B11D28">
              <w:rPr>
                <w:rFonts w:ascii="Century Gothic" w:eastAsia="Times New Roman" w:hAnsi="Century Gothic" w:cs="Times New Roman"/>
              </w:rPr>
              <w:t xml:space="preserve">Kocioł powinien posiadać parametry jak kocioł demontowany – moc nie mniejsza niż 45 kW . Zaleca się zastosować kocioł z palnikiem atmosferycznym bezprądowy. </w:t>
            </w:r>
          </w:p>
          <w:p w14:paraId="72A8ED41" w14:textId="77777777" w:rsidR="00B11D28" w:rsidRPr="00B11D28" w:rsidRDefault="00B11D28" w:rsidP="00B11D28">
            <w:pPr>
              <w:spacing w:before="240" w:after="240" w:line="276" w:lineRule="auto"/>
              <w:ind w:left="35" w:firstLine="4"/>
              <w:contextualSpacing/>
              <w:rPr>
                <w:rFonts w:ascii="Century Gothic" w:eastAsia="Times New Roman" w:hAnsi="Century Gothic" w:cs="Times New Roman"/>
              </w:rPr>
            </w:pPr>
            <w:r w:rsidRPr="00B11D28">
              <w:rPr>
                <w:rFonts w:ascii="Century Gothic" w:eastAsia="Times New Roman" w:hAnsi="Century Gothic" w:cs="Times New Roman"/>
              </w:rPr>
              <w:t>Dobór kotła uzgodnić z OGP GAZ-SYSTEM S.A. Oddział w Rembelszczyźnie</w:t>
            </w:r>
          </w:p>
          <w:p w14:paraId="55A2DD7C" w14:textId="77777777" w:rsidR="00B11D28" w:rsidRPr="00B11D28" w:rsidRDefault="00B11D28" w:rsidP="00B11D28">
            <w:pPr>
              <w:spacing w:before="240" w:after="240" w:line="276" w:lineRule="auto"/>
              <w:ind w:left="35" w:firstLine="4"/>
              <w:contextualSpacing/>
              <w:rPr>
                <w:rFonts w:ascii="Century Gothic" w:eastAsia="Times New Roman" w:hAnsi="Century Gothic" w:cs="Times New Roman"/>
              </w:rPr>
            </w:pPr>
            <w:r w:rsidRPr="00B11D28">
              <w:rPr>
                <w:rFonts w:ascii="Century Gothic" w:eastAsia="Times New Roman" w:hAnsi="Century Gothic" w:cs="Times New Roman"/>
              </w:rPr>
              <w:t xml:space="preserve">Określić zakres zmian  instalacji podgrzewu wynikających z montażu nowego kotła. </w:t>
            </w:r>
          </w:p>
        </w:tc>
      </w:tr>
    </w:tbl>
    <w:p w14:paraId="7CB1543D" w14:textId="77777777" w:rsidR="00B11D28" w:rsidRPr="00B11D28" w:rsidRDefault="00B11D28" w:rsidP="00B11D28">
      <w:pPr>
        <w:spacing w:after="0" w:line="276" w:lineRule="auto"/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</w:pPr>
    </w:p>
    <w:p w14:paraId="39F997BB" w14:textId="77777777" w:rsidR="00B11D28" w:rsidRPr="00B11D28" w:rsidRDefault="00B11D28" w:rsidP="00B11D28">
      <w:pPr>
        <w:spacing w:after="0" w:line="276" w:lineRule="auto"/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</w:pPr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>* B – budowa</w:t>
      </w:r>
    </w:p>
    <w:p w14:paraId="373EA63E" w14:textId="77777777" w:rsidR="00B11D28" w:rsidRPr="00B11D28" w:rsidRDefault="00B11D28" w:rsidP="00B11D28">
      <w:pPr>
        <w:spacing w:after="0" w:line="276" w:lineRule="auto"/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</w:pPr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 xml:space="preserve">   R - rozbiórka</w:t>
      </w:r>
    </w:p>
    <w:p w14:paraId="797C7309" w14:textId="77777777" w:rsidR="00B11D28" w:rsidRPr="00B11D28" w:rsidRDefault="00B11D28" w:rsidP="00B11D28">
      <w:pPr>
        <w:tabs>
          <w:tab w:val="left" w:pos="5645"/>
        </w:tabs>
        <w:spacing w:after="0" w:line="276" w:lineRule="auto"/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</w:pPr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 xml:space="preserve">  W - wymiana</w:t>
      </w:r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ab/>
      </w:r>
    </w:p>
    <w:p w14:paraId="36560A4B" w14:textId="77777777" w:rsidR="00B11D28" w:rsidRPr="00B11D28" w:rsidRDefault="00B11D28" w:rsidP="00B11D28">
      <w:pPr>
        <w:spacing w:after="0" w:line="276" w:lineRule="auto"/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</w:pPr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 xml:space="preserve">  </w:t>
      </w:r>
      <w:proofErr w:type="spellStart"/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>Dop</w:t>
      </w:r>
      <w:proofErr w:type="spellEnd"/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>. – doposażenie</w:t>
      </w:r>
    </w:p>
    <w:p w14:paraId="1DD5B9FD" w14:textId="77777777" w:rsidR="00B11D28" w:rsidRPr="00B11D28" w:rsidRDefault="00B11D28" w:rsidP="00B11D28">
      <w:pPr>
        <w:spacing w:after="0" w:line="276" w:lineRule="auto"/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</w:pPr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 xml:space="preserve">  M - modernizacja</w:t>
      </w:r>
    </w:p>
    <w:p w14:paraId="2B4CD11D" w14:textId="77777777" w:rsidR="00B11D28" w:rsidRPr="00B11D28" w:rsidRDefault="00B11D28" w:rsidP="00B11D28">
      <w:pPr>
        <w:spacing w:after="0" w:line="276" w:lineRule="auto"/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</w:pPr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 xml:space="preserve">  Reg. - regeneracja</w:t>
      </w:r>
    </w:p>
    <w:p w14:paraId="3CFF13D6" w14:textId="77777777" w:rsidR="00B11D28" w:rsidRPr="00B11D28" w:rsidRDefault="00B11D28" w:rsidP="00B11D28">
      <w:pPr>
        <w:tabs>
          <w:tab w:val="left" w:pos="5670"/>
        </w:tabs>
        <w:spacing w:after="0" w:line="240" w:lineRule="auto"/>
        <w:jc w:val="both"/>
        <w:rPr>
          <w:rFonts w:ascii="Century Gothic" w:eastAsia="Times New Roman" w:hAnsi="Century Gothic" w:cs="Times New Roman"/>
          <w:kern w:val="0"/>
          <w:lang w:eastAsia="pl-PL"/>
          <w14:ligatures w14:val="none"/>
        </w:rPr>
      </w:pPr>
      <w:r w:rsidRPr="00B11D28">
        <w:rPr>
          <w:rFonts w:ascii="Century Gothic" w:eastAsia="Times New Roman" w:hAnsi="Century Gothic" w:cs="Times New Roman"/>
          <w:kern w:val="0"/>
          <w:sz w:val="24"/>
          <w:szCs w:val="24"/>
          <w:lang w:eastAsia="pl-PL"/>
          <w14:ligatures w14:val="none"/>
        </w:rPr>
        <w:t xml:space="preserve">  D – demontaż</w:t>
      </w:r>
    </w:p>
    <w:p w14:paraId="61C50CB0" w14:textId="77777777" w:rsidR="00AE5302" w:rsidRDefault="00AE5302"/>
    <w:sectPr w:rsidR="00AE5302" w:rsidSect="00B11D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3ABA"/>
    <w:multiLevelType w:val="hybridMultilevel"/>
    <w:tmpl w:val="D424195C"/>
    <w:lvl w:ilvl="0" w:tplc="378209AE">
      <w:start w:val="1"/>
      <w:numFmt w:val="decimal"/>
      <w:lvlText w:val="%1."/>
      <w:lvlJc w:val="left"/>
      <w:pPr>
        <w:ind w:left="103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num w:numId="1" w16cid:durableId="1873229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28"/>
    <w:rsid w:val="00AE5302"/>
    <w:rsid w:val="00B1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0AC32"/>
  <w15:chartTrackingRefBased/>
  <w15:docId w15:val="{084C0458-242E-4496-BD2F-56B291E3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468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 Grzegorz</dc:creator>
  <cp:keywords/>
  <dc:description/>
  <cp:lastModifiedBy>Cieśla Grzegorz</cp:lastModifiedBy>
  <cp:revision>1</cp:revision>
  <dcterms:created xsi:type="dcterms:W3CDTF">2024-03-11T09:33:00Z</dcterms:created>
  <dcterms:modified xsi:type="dcterms:W3CDTF">2024-03-11T09:35:00Z</dcterms:modified>
</cp:coreProperties>
</file>