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9128BE8" w:rsidR="00B32AC2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578E3AA4" w14:textId="77777777" w:rsidR="00131DAE" w:rsidRPr="00E9690D" w:rsidRDefault="00131DAE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51A0F5E3" w14:textId="512899C4" w:rsidR="00C07242" w:rsidRDefault="00396880" w:rsidP="0097245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131DAE" w:rsidRPr="00131DAE">
        <w:rPr>
          <w:rFonts w:ascii="Century Gothic" w:hAnsi="Century Gothic"/>
          <w:b/>
          <w:sz w:val="20"/>
          <w:szCs w:val="20"/>
        </w:rPr>
        <w:t>Wykonanie robót budowlanych w zakresie przebudowy gazociągu Jarosław - Lubaczów na przekroczeniu rz. San w Jarosławiu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131DAE" w:rsidRPr="00131DAE">
        <w:rPr>
          <w:rFonts w:ascii="Century Gothic" w:hAnsi="Century Gothic"/>
          <w:b/>
          <w:bCs/>
          <w:sz w:val="20"/>
          <w:szCs w:val="20"/>
        </w:rPr>
        <w:t>NP/2023/11/0720/TAR</w:t>
      </w:r>
      <w:r w:rsidR="00677D01" w:rsidRPr="00C07242">
        <w:rPr>
          <w:rFonts w:ascii="Century Gothic" w:hAnsi="Century Gothic" w:cs="Arial"/>
          <w:bCs/>
          <w:sz w:val="20"/>
          <w:szCs w:val="20"/>
        </w:rPr>
        <w:t>),</w:t>
      </w:r>
      <w:r w:rsidR="00F75C88" w:rsidRPr="00C07242">
        <w:rPr>
          <w:rFonts w:ascii="Century Gothic" w:hAnsi="Century Gothic" w:cs="Arial"/>
          <w:bCs/>
          <w:sz w:val="20"/>
          <w:szCs w:val="20"/>
        </w:rPr>
        <w:t xml:space="preserve"> </w:t>
      </w:r>
      <w:r w:rsidR="003E75E7" w:rsidRPr="00C07242">
        <w:rPr>
          <w:rFonts w:ascii="Century Gothic" w:hAnsi="Century Gothic"/>
          <w:b/>
          <w:sz w:val="20"/>
          <w:szCs w:val="18"/>
        </w:rPr>
        <w:t>OŚWIADCZAMY</w:t>
      </w:r>
      <w:r w:rsidR="00834608" w:rsidRPr="00C07242">
        <w:rPr>
          <w:rFonts w:ascii="Century Gothic" w:hAnsi="Century Gothic"/>
          <w:sz w:val="20"/>
          <w:szCs w:val="18"/>
        </w:rPr>
        <w:t xml:space="preserve">, </w:t>
      </w:r>
      <w:r w:rsidR="006325DE" w:rsidRPr="00C07242">
        <w:rPr>
          <w:rFonts w:ascii="Century Gothic" w:hAnsi="Century Gothic"/>
          <w:sz w:val="20"/>
          <w:szCs w:val="18"/>
        </w:rPr>
        <w:t>iż w</w:t>
      </w:r>
      <w:r w:rsidR="00834608" w:rsidRPr="00C07242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C07242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C07242">
        <w:rPr>
          <w:rFonts w:ascii="Century Gothic" w:hAnsi="Century Gothic"/>
          <w:sz w:val="20"/>
          <w:szCs w:val="18"/>
        </w:rPr>
        <w:t>pięciu</w:t>
      </w:r>
      <w:r w:rsidR="00A17ED4" w:rsidRPr="00C07242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07242">
        <w:rPr>
          <w:rFonts w:ascii="Century Gothic" w:hAnsi="Century Gothic"/>
          <w:sz w:val="20"/>
          <w:szCs w:val="18"/>
        </w:rPr>
        <w:t>zrealizowaliśmy następujące zamówieni</w:t>
      </w:r>
      <w:r w:rsidR="00270D73">
        <w:rPr>
          <w:rFonts w:ascii="Century Gothic" w:hAnsi="Century Gothic"/>
          <w:sz w:val="20"/>
          <w:szCs w:val="18"/>
        </w:rPr>
        <w:t>e</w:t>
      </w:r>
      <w:r w:rsidR="00955833" w:rsidRPr="00C07242">
        <w:rPr>
          <w:rFonts w:ascii="Century Gothic" w:hAnsi="Century Gothic"/>
          <w:sz w:val="20"/>
          <w:szCs w:val="18"/>
        </w:rPr>
        <w:t xml:space="preserve"> </w:t>
      </w:r>
      <w:r w:rsidR="00D002AD" w:rsidRPr="00C07242">
        <w:rPr>
          <w:rFonts w:ascii="Century Gothic" w:hAnsi="Century Gothic"/>
          <w:sz w:val="20"/>
          <w:szCs w:val="18"/>
        </w:rPr>
        <w:t>[</w:t>
      </w:r>
      <w:r w:rsidR="00955833" w:rsidRPr="00C07242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C07242">
        <w:rPr>
          <w:rFonts w:ascii="Century Gothic" w:hAnsi="Century Gothic"/>
          <w:sz w:val="20"/>
          <w:szCs w:val="18"/>
        </w:rPr>
        <w:t xml:space="preserve">Rozdziale VI ust. 1 pkt 2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2.4)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2.4.1</w:t>
      </w:r>
      <w:r w:rsidR="00E45035" w:rsidRPr="00C07242">
        <w:rPr>
          <w:rFonts w:ascii="Century Gothic" w:hAnsi="Century Gothic"/>
          <w:sz w:val="20"/>
          <w:szCs w:val="18"/>
        </w:rPr>
        <w:t>)</w:t>
      </w:r>
      <w:r w:rsidR="00D002AD" w:rsidRPr="00C07242">
        <w:rPr>
          <w:rFonts w:ascii="Century Gothic" w:hAnsi="Century Gothic"/>
          <w:sz w:val="20"/>
          <w:szCs w:val="18"/>
        </w:rPr>
        <w:t>]</w:t>
      </w:r>
      <w:r w:rsidR="00955833" w:rsidRPr="00C07242">
        <w:rPr>
          <w:rFonts w:ascii="Century Gothic" w:hAnsi="Century Gothic"/>
          <w:sz w:val="20"/>
          <w:szCs w:val="18"/>
        </w:rPr>
        <w:t>:</w:t>
      </w:r>
    </w:p>
    <w:p w14:paraId="67382295" w14:textId="066C9899" w:rsidR="00972453" w:rsidRDefault="00972453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F26D218" w14:textId="77777777" w:rsidR="00131DAE" w:rsidRPr="00972453" w:rsidRDefault="00131DAE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AD6919" w:rsidRPr="00E9690D" w14:paraId="685FA59A" w14:textId="77777777" w:rsidTr="00AD691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7373DC22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3ED1053B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73C26C1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4B9AF6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28A145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63B7AB0" w14:textId="77777777" w:rsidR="00AD6919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2DEA268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2093BE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4C221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EC50BB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D6919" w:rsidRPr="00E9690D" w14:paraId="36817F86" w14:textId="77777777" w:rsidTr="00AD691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860E64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786F09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D63A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398F1E0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84109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E7C5D9F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64207985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4CE2DE9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D6919" w:rsidRPr="00E9690D" w14:paraId="4437C2B7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21061485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bookmarkStart w:id="2" w:name="_Hlk151111691"/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14DE7D2" w14:textId="77777777" w:rsidR="00AD6919" w:rsidRPr="00E9690D" w:rsidRDefault="00AD691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C30AEE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7034F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D18A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3F18993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bookmarkEnd w:id="2"/>
      <w:tr w:rsidR="00131DAE" w:rsidRPr="00E9690D" w14:paraId="67522491" w14:textId="77777777" w:rsidTr="005E56C3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2DA5AED" w14:textId="73F5E74C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</w:t>
            </w: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1DDF0F7D" w14:textId="77777777" w:rsidR="00131DAE" w:rsidRPr="00E9690D" w:rsidRDefault="00131DAE" w:rsidP="005E56C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61FCA3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25C4F7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022A11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114D593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131DAE" w:rsidRPr="00E9690D" w14:paraId="70C1A786" w14:textId="77777777" w:rsidTr="005E56C3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14CA2A37" w14:textId="01857CD4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3</w:t>
            </w: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2AC24C09" w14:textId="77777777" w:rsidR="00131DAE" w:rsidRPr="00E9690D" w:rsidRDefault="00131DAE" w:rsidP="005E56C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EBB6C1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CF00E0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616779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4ACB351E" w14:textId="77777777" w:rsidR="00131DAE" w:rsidRPr="00E9690D" w:rsidRDefault="00131DAE" w:rsidP="005E56C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312EDD5" w14:textId="77777777" w:rsidR="00972453" w:rsidRDefault="00972453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9524FA1" w14:textId="77777777" w:rsidR="00131DAE" w:rsidRDefault="00131DA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64270E09" w:rsidR="00621587" w:rsidRPr="00131DAE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r w:rsidRPr="00131DAE">
        <w:rPr>
          <w:rFonts w:ascii="Century Gothic" w:hAnsi="Century Gothic" w:cs="Century Gothic"/>
          <w:sz w:val="20"/>
          <w:szCs w:val="20"/>
        </w:rPr>
        <w:t>Do</w:t>
      </w:r>
      <w:r w:rsidR="00F07C5F" w:rsidRPr="00131DAE">
        <w:rPr>
          <w:rFonts w:ascii="Century Gothic" w:hAnsi="Century Gothic" w:cs="Century Gothic"/>
          <w:sz w:val="20"/>
          <w:szCs w:val="20"/>
        </w:rPr>
        <w:t xml:space="preserve"> wykazu</w:t>
      </w:r>
      <w:r w:rsidRPr="00131DAE">
        <w:rPr>
          <w:rFonts w:ascii="Century Gothic" w:hAnsi="Century Gothic" w:cs="Century Gothic"/>
          <w:sz w:val="20"/>
          <w:szCs w:val="20"/>
        </w:rPr>
        <w:t xml:space="preserve"> należy dołączyć dokumenty (np. referencje) potwierdzające, że </w:t>
      </w:r>
      <w:r w:rsidR="00F07C5F" w:rsidRPr="00131DAE">
        <w:rPr>
          <w:rFonts w:ascii="Century Gothic" w:hAnsi="Century Gothic" w:cs="Century Gothic"/>
          <w:sz w:val="20"/>
          <w:szCs w:val="20"/>
        </w:rPr>
        <w:t>zamówieni</w:t>
      </w:r>
      <w:r w:rsidR="00D002AD" w:rsidRPr="00131DAE">
        <w:rPr>
          <w:rFonts w:ascii="Century Gothic" w:hAnsi="Century Gothic" w:cs="Century Gothic"/>
          <w:sz w:val="20"/>
          <w:szCs w:val="20"/>
        </w:rPr>
        <w:t>a</w:t>
      </w:r>
      <w:r w:rsidR="00F07C5F" w:rsidRPr="00131DAE">
        <w:rPr>
          <w:rFonts w:ascii="Century Gothic" w:hAnsi="Century Gothic" w:cs="Century Gothic"/>
          <w:sz w:val="20"/>
          <w:szCs w:val="20"/>
        </w:rPr>
        <w:t xml:space="preserve"> </w:t>
      </w:r>
      <w:r w:rsidRPr="00131DAE">
        <w:rPr>
          <w:rFonts w:ascii="Century Gothic" w:hAnsi="Century Gothic" w:cs="Century Gothic"/>
          <w:sz w:val="20"/>
          <w:szCs w:val="20"/>
        </w:rPr>
        <w:t>został</w:t>
      </w:r>
      <w:r w:rsidR="00D002AD" w:rsidRPr="00131DAE">
        <w:rPr>
          <w:rFonts w:ascii="Century Gothic" w:hAnsi="Century Gothic" w:cs="Century Gothic"/>
          <w:sz w:val="20"/>
          <w:szCs w:val="20"/>
        </w:rPr>
        <w:t>y</w:t>
      </w:r>
      <w:r w:rsidR="00E45035" w:rsidRPr="00131DAE">
        <w:rPr>
          <w:rFonts w:ascii="Century Gothic" w:hAnsi="Century Gothic" w:cs="Century Gothic"/>
          <w:sz w:val="20"/>
          <w:szCs w:val="20"/>
        </w:rPr>
        <w:t xml:space="preserve"> </w:t>
      </w:r>
      <w:r w:rsidRPr="00131DAE">
        <w:rPr>
          <w:rFonts w:ascii="Century Gothic" w:hAnsi="Century Gothic" w:cs="Century Gothic"/>
          <w:sz w:val="20"/>
          <w:szCs w:val="20"/>
        </w:rPr>
        <w:t>wykonane należycie. Ww. dokumenty muszą być wystawione lub potwierdzone przez podmiot na rzecz którego zamówienie zostało wykonane.</w:t>
      </w:r>
      <w:r w:rsidR="001E7C1F" w:rsidRPr="00131DAE">
        <w:rPr>
          <w:rFonts w:ascii="Century Gothic" w:hAnsi="Century Gothic" w:cs="Century Gothic"/>
          <w:sz w:val="20"/>
          <w:szCs w:val="20"/>
        </w:rPr>
        <w:tab/>
      </w:r>
    </w:p>
    <w:p w14:paraId="272508FA" w14:textId="4CA73CDE" w:rsidR="00621587" w:rsidRPr="00131DAE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  <w:r w:rsidRPr="00131DAE">
        <w:rPr>
          <w:rFonts w:ascii="Century Gothic" w:hAnsi="Century Gothic" w:cs="Century Gothic"/>
          <w:sz w:val="20"/>
          <w:szCs w:val="20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131DAE">
        <w:rPr>
          <w:rFonts w:ascii="Century Gothic" w:hAnsi="Century Gothic" w:cs="Arial"/>
          <w:bCs/>
          <w:sz w:val="20"/>
          <w:szCs w:val="20"/>
        </w:rPr>
        <w:lastRenderedPageBreak/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131DAE">
        <w:rPr>
          <w:rFonts w:ascii="Century Gothic" w:hAnsi="Century Gothic" w:cs="Century Gothic"/>
          <w:bCs/>
          <w:sz w:val="20"/>
          <w:szCs w:val="20"/>
        </w:rPr>
        <w:t>(zgodnie z treścią Załącznika nr 6 do SWZ)</w:t>
      </w:r>
      <w:r w:rsidRPr="00131DAE">
        <w:rPr>
          <w:rFonts w:ascii="Century Gothic" w:hAnsi="Century Gothic" w:cs="Arial"/>
          <w:bCs/>
          <w:sz w:val="20"/>
          <w:szCs w:val="20"/>
        </w:rPr>
        <w:t>.</w:t>
      </w:r>
      <w:r w:rsidR="001E7C1F" w:rsidRPr="00131DAE">
        <w:rPr>
          <w:rFonts w:ascii="Century Gothic" w:hAnsi="Century Gothic" w:cs="Century Gothic"/>
          <w:sz w:val="20"/>
          <w:szCs w:val="20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2791101E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03240FA4" w14:textId="77777777" w:rsidR="00131DAE" w:rsidRDefault="00131DAE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31DAE"/>
    <w:rsid w:val="00142DDF"/>
    <w:rsid w:val="00142F71"/>
    <w:rsid w:val="0014441E"/>
    <w:rsid w:val="00145DBC"/>
    <w:rsid w:val="00147950"/>
    <w:rsid w:val="00156116"/>
    <w:rsid w:val="00157407"/>
    <w:rsid w:val="0018345B"/>
    <w:rsid w:val="0018780F"/>
    <w:rsid w:val="0018789F"/>
    <w:rsid w:val="001A3449"/>
    <w:rsid w:val="001B4559"/>
    <w:rsid w:val="001C3484"/>
    <w:rsid w:val="001C3537"/>
    <w:rsid w:val="001D7FBF"/>
    <w:rsid w:val="001E56C9"/>
    <w:rsid w:val="001E7C1F"/>
    <w:rsid w:val="001F25E7"/>
    <w:rsid w:val="001F7E48"/>
    <w:rsid w:val="00216297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0D73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5E7B"/>
    <w:rsid w:val="003D6D8E"/>
    <w:rsid w:val="003E75E7"/>
    <w:rsid w:val="004171BA"/>
    <w:rsid w:val="00427B3F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1CB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2453"/>
    <w:rsid w:val="00977386"/>
    <w:rsid w:val="00991039"/>
    <w:rsid w:val="00993808"/>
    <w:rsid w:val="009979FB"/>
    <w:rsid w:val="009A1607"/>
    <w:rsid w:val="009A6CDB"/>
    <w:rsid w:val="009C5059"/>
    <w:rsid w:val="009D03E5"/>
    <w:rsid w:val="009D0508"/>
    <w:rsid w:val="009D1BE0"/>
    <w:rsid w:val="009D4CE5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919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07242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2023-11-17T10:06:00Z</dcterms:created>
  <dcterms:modified xsi:type="dcterms:W3CDTF">2023-11-17T10:08:00Z</dcterms:modified>
</cp:coreProperties>
</file>