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05803" w14:textId="36FCB958" w:rsidR="00810A16" w:rsidRPr="00AC1A06" w:rsidRDefault="00810A16" w:rsidP="00815D71">
      <w:pPr>
        <w:spacing w:before="120" w:after="0" w:line="240" w:lineRule="auto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4"/>
          <w:szCs w:val="24"/>
          <w:lang w:eastAsia="pl-PL"/>
        </w:rPr>
      </w:pPr>
      <w:r w:rsidRPr="004975A2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Zał. nr</w:t>
      </w:r>
      <w:r w:rsidR="00D45004" w:rsidRPr="004975A2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2F4962" w:rsidRPr="004975A2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2</w:t>
      </w:r>
      <w:r w:rsidR="00A061C4" w:rsidRPr="004975A2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4975A2">
        <w:rPr>
          <w:rFonts w:ascii="Century Gothic" w:eastAsia="Times New Roman" w:hAnsi="Century Gothic" w:cs="Times New Roman"/>
          <w:b/>
          <w:bCs/>
          <w:color w:val="000000" w:themeColor="text1"/>
          <w:sz w:val="24"/>
          <w:szCs w:val="24"/>
          <w:lang w:eastAsia="pl-PL"/>
        </w:rPr>
        <w:t>do OPZ</w:t>
      </w:r>
    </w:p>
    <w:p w14:paraId="61548B33" w14:textId="77777777" w:rsidR="00A061C4" w:rsidRPr="00AC1A06" w:rsidRDefault="00A061C4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</w:p>
    <w:p w14:paraId="75AD38B6" w14:textId="393C8203" w:rsidR="0089631E" w:rsidRPr="00AC1A06" w:rsidRDefault="0089631E" w:rsidP="007B0BE0">
      <w:pPr>
        <w:spacing w:after="0" w:line="240" w:lineRule="auto"/>
        <w:ind w:left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8"/>
          <w:szCs w:val="28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8"/>
          <w:szCs w:val="28"/>
          <w:lang w:eastAsia="pl-PL"/>
        </w:rPr>
        <w:t xml:space="preserve">Wymagania Zamawiającego dotyczące obsługi </w:t>
      </w:r>
      <w:r w:rsidR="00520D7A" w:rsidRPr="00AC1A06">
        <w:rPr>
          <w:rFonts w:ascii="Century Gothic" w:eastAsia="Times New Roman" w:hAnsi="Century Gothic" w:cs="Times New Roman"/>
          <w:color w:val="000000" w:themeColor="text1"/>
          <w:sz w:val="28"/>
          <w:szCs w:val="28"/>
          <w:lang w:eastAsia="pl-PL"/>
        </w:rPr>
        <w:t>geodezyjnej</w:t>
      </w:r>
      <w:r w:rsidRPr="00AC1A06">
        <w:rPr>
          <w:rFonts w:ascii="Century Gothic" w:eastAsia="Times New Roman" w:hAnsi="Century Gothic" w:cs="Times New Roman"/>
          <w:color w:val="000000" w:themeColor="text1"/>
          <w:sz w:val="28"/>
          <w:szCs w:val="28"/>
          <w:lang w:eastAsia="pl-PL"/>
        </w:rPr>
        <w:t xml:space="preserve">: </w:t>
      </w:r>
    </w:p>
    <w:p w14:paraId="1165A537" w14:textId="77777777" w:rsidR="00810A16" w:rsidRPr="00AC1A06" w:rsidRDefault="00810A16" w:rsidP="00305C5F">
      <w:pPr>
        <w:spacing w:after="0" w:line="240" w:lineRule="auto"/>
        <w:ind w:left="1778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</w:p>
    <w:p w14:paraId="037FF5A4" w14:textId="5A32B5F0" w:rsidR="0089631E" w:rsidRPr="004975A2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zadań zleconych, które w swoim zakresie obejmują zakres wznowienia znaków granicznych, Wykonawca wykona prace geodezyjne polegające na wykonaniu przedmiotowych czynności łącznie ze zgłoszeniem prac w Ośrodku Dokumentacji Geodezyjno-Kartograficznym.</w:t>
      </w:r>
    </w:p>
    <w:p w14:paraId="5EFF5311" w14:textId="4DDC14E5" w:rsidR="0089631E" w:rsidRPr="00AC1A06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zadań, których nie można zrealizować w jednym etapie Wykonawca zapewni, iż obsługa geodezyjna będzie przeprowadzana etapowo zgodnie z przyjętym harmonogramem prac budowlanych dla przedmiotowych zadań. Zagadnienie to dotyczy wytyczenia jak i pomiaru powykonawczego zgłaszanego przez 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ykonawcę prac budowlanych lub Zamawiającego.</w:t>
      </w:r>
    </w:p>
    <w:p w14:paraId="04229FC0" w14:textId="77777777" w:rsidR="0089631E" w:rsidRPr="00AC1A06" w:rsidRDefault="0089631E" w:rsidP="00305C5F">
      <w:pPr>
        <w:numPr>
          <w:ilvl w:val="0"/>
          <w:numId w:val="2"/>
        </w:numPr>
        <w:spacing w:after="0" w:line="240" w:lineRule="auto"/>
        <w:ind w:left="567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Wytyczeniu podlegać będą wszystkie elementy realizowane w danym zadaniu z uwzględnieniem także takich elementów jak:</w:t>
      </w:r>
    </w:p>
    <w:p w14:paraId="3F5743CB" w14:textId="77777777" w:rsidR="0089631E" w:rsidRPr="00AC1A06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szerokość pasa robót montażowych, </w:t>
      </w:r>
    </w:p>
    <w:p w14:paraId="11D0A1AF" w14:textId="77777777" w:rsidR="0089631E" w:rsidRPr="00AC1A06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zmiana grubości ścianki, </w:t>
      </w:r>
    </w:p>
    <w:p w14:paraId="0BD76F60" w14:textId="11A6C88A" w:rsidR="0089631E" w:rsidRPr="00AC1A06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obciążniki,  </w:t>
      </w:r>
    </w:p>
    <w:p w14:paraId="46682196" w14:textId="057753B2" w:rsidR="00FD76B0" w:rsidRPr="00AC1A06" w:rsidRDefault="00FD76B0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kompensatory,</w:t>
      </w:r>
    </w:p>
    <w:p w14:paraId="31431B07" w14:textId="77777777" w:rsidR="00A061C4" w:rsidRPr="00AC1A06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skrzyżowania z obcymi sieciami wraz z znacznikami (np. EMS), </w:t>
      </w:r>
    </w:p>
    <w:p w14:paraId="0147019A" w14:textId="0F1A6225" w:rsidR="00FD76B0" w:rsidRPr="00AC1A06" w:rsidRDefault="0089631E" w:rsidP="00305C5F">
      <w:pPr>
        <w:numPr>
          <w:ilvl w:val="1"/>
          <w:numId w:val="2"/>
        </w:numPr>
        <w:spacing w:after="0" w:line="240" w:lineRule="auto"/>
        <w:ind w:left="1418" w:hanging="567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wszystkie inne elementy, które wymagają tyczenia w trakcie  prac budowlano-montażowych, które nie mogą być prawidłowo usytuowane bez pomiarów geodezyjnych, a które zgłosi 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ykonawca robót budowlanych lub Zamawiający. </w:t>
      </w:r>
    </w:p>
    <w:p w14:paraId="4B1DB440" w14:textId="743B2206" w:rsidR="0089631E" w:rsidRPr="00AC1A06" w:rsidRDefault="0089631E" w:rsidP="00305C5F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Po </w:t>
      </w:r>
      <w:r w:rsidR="00520D7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zrealizowaniu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wytyczenia Wykonawca wykona dokumentację wytyczenia szczegółów (szkice), która sporządzona zostanie na postawie dokumentacji projektowej</w:t>
      </w:r>
      <w:r w:rsidR="00FD76B0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(o ile występuje)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i wyników wykonanego tyczenia  i będzie dołączona wraz z odpowiednim wpisem do dziennika budowy. </w:t>
      </w:r>
    </w:p>
    <w:p w14:paraId="2EB38CAF" w14:textId="0233EDD4" w:rsidR="007B0BE0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Dla obiektów </w:t>
      </w:r>
      <w:r w:rsidR="19CD85C3"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liniowych</w:t>
      </w: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takich jak: gazociągi, przewody elektroenergetyczne, przewody ochrony antykorozyjnej, przewody telemetryczne, itp., jeśli zajdzie taka konieczność,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pasie. Obliczona i podana długość oraz powierzchnia  wyznaczonego obszaru odniesiona do obiektów liniowych po wybudowaniu posłużą  do naliczenia i wypłaty odszkodowań za zajęcie pasa montażowego.</w:t>
      </w:r>
    </w:p>
    <w:p w14:paraId="5013894E" w14:textId="77777777" w:rsidR="00A061C4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Preferowaną formą klauzuli map papierowych będzie klauzula urzędowa w rozumieniu ustawy Prawo Geodezyjne i Kartograficzne.</w:t>
      </w:r>
    </w:p>
    <w:p w14:paraId="2128374E" w14:textId="1D377CF7" w:rsidR="00A061C4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przewiertów sterowanych przebieg sieci gazowej należy umieścić z odpowiednią adnotacją na mapie w Ośrodku Dokumentacji Geodezyjnej i Kartograficznej i branżowej mapie hybrydowej na podstawie danych otrzymanych od </w:t>
      </w:r>
      <w:r w:rsidR="00B25D49"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ykonawcy danego przewiertu.</w:t>
      </w:r>
    </w:p>
    <w:p w14:paraId="5548F6D8" w14:textId="77777777" w:rsidR="00A061C4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Konieczne jest zaznaczenie na numerycznej mapie branżowej Zamawiającego we właściwej lokalizacji wszystkich połączeń spawanych, także tych odcinków, które były wykonywane metodą </w:t>
      </w:r>
      <w:proofErr w:type="spellStart"/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bezwykopową</w:t>
      </w:r>
      <w:proofErr w:type="spellEnd"/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Dla przedmiotowych odcinków nanieść położenie spoin wykorzystując dziennik spawania i dane w nim zawarte.  </w:t>
      </w:r>
    </w:p>
    <w:p w14:paraId="7599E7E1" w14:textId="77777777" w:rsidR="00A061C4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gazociągów na powykonawczej mapie wektorowej należy umieścić informację na temat klasy lokalizacji wraz z podaniem roku jej ustalenia. Klasa lokalizacji zostanie przedstawiona jako symbol branżowy za pomocą linii prostopadłej do gazociągu wraz z opisem słownym. Adnotacja zostanie umieszczona bezpośrednio nad przedmiotowym gazociągiem i będzie zawierać nazwę klasy. Symbol wraz z opisem odnośnie klasy lokalizacji należy umieszczać co 500 m w pasie gazociągu oraz na jej początku i końcu z uwzględnieniem klas sąsiednich.</w:t>
      </w:r>
    </w:p>
    <w:p w14:paraId="40C3B248" w14:textId="48848FC4" w:rsidR="00A061C4" w:rsidRPr="004975A2" w:rsidRDefault="007B0BE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przypadku obiektów liniowych takich jak gazociąg, światłowód  Wykonawca zobligowany  </w:t>
      </w:r>
      <w:r w:rsidR="19CD85C3"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jest </w:t>
      </w: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do podawania w zestawieniu tabelarycznym długość gazociągu w </w:t>
      </w: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lastRenderedPageBreak/>
        <w:t>podziale na obręby, gminy i powiaty w rozróżnieniu na odległości przestrzenne i zredukowane. Długości należy podawać w układzie współrzędnych 2000 w odpowiedniej strefie</w:t>
      </w:r>
      <w:r w:rsidR="00B25D49"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(w metrach)</w:t>
      </w:r>
      <w:r w:rsidRPr="004975A2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</w:t>
      </w:r>
    </w:p>
    <w:p w14:paraId="1E92A303" w14:textId="6DE79451" w:rsidR="00A061C4" w:rsidRPr="004975A2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Każdorazowo na żądanie 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ykonawcy robót budowlanych lub Zamawiającego, w wyniku wykonania inwentaryzacji, Wykonawca przekaże geodezyjne szkice powykonawcze 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ykonawcy robót budowlanych nie później niż następnego dnia roboczego. Przedmiotowe szkice powykonawcze, obejmujące zinwentaryzowany obszar wraz ze wszystkimi elementami zgłoszonymi do inwentaryzacji, będą zawierały także dane liczbowe wraz z miarami kontrolnymi, które niezbędne będą 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ykonawcy prac budowlanych lub Zamawiającemu do zakończenia kolejnych etapów realizowanych prac. </w:t>
      </w:r>
    </w:p>
    <w:p w14:paraId="601DDE18" w14:textId="77777777" w:rsidR="00A061C4" w:rsidRPr="004975A2" w:rsidRDefault="0089631E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Wykonawca w ramach umowy zobligowany jest do umieszczania wszelkich redakcji mapowych na mapach zasadniczych poprzez umieszczanie nowych elementów na mapie bądź skorygowanie przebiegu błędnie naniesionej infrastruktury technicznej (elementów uzbrojenia technicznego i szczegółów sytuacyjnych) w opracowywanym pasie na wszystkich skalach mapowych prowadzonych przez Ośrodek Dokumentacji Geodezyjnej i Kartograficznej, na przykład dotyczy to sytuacji, w której Wykonawca przekaże </w:t>
      </w:r>
      <w:proofErr w:type="spellStart"/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zaklauzulowaną</w:t>
      </w:r>
      <w:proofErr w:type="spellEnd"/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mapę z Ośrodka Dokumentacji Geodezyjnej i Kartograficznej w skali 1:1 000, a w zasobie Ośrodka Dokumentacji Geodezyjnej i Kartograficznej prowadzona jest także mapa w skali 1: 500 lub na odwrót, jeśli przekaże mapę w skali 1: 500, a w Ośrodka Dokumentacji Geodezyjnej i Kartograficznej jest również prowadzona mapa w skali 1:1 000, nawet w sytuacji gdy takiej mapy Wykonawca z różnych względów nie otrzymał z Ośrodkow</w:t>
      </w:r>
      <w:r w:rsidR="000867C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a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Dokumentacji Geodezyjnej i Kartograficznej. Potwierdzeniem poprawnie wykonanego zamówienia jest przekazanie </w:t>
      </w:r>
      <w:proofErr w:type="spellStart"/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zaklauzulowanej</w:t>
      </w:r>
      <w:proofErr w:type="spellEnd"/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mapy zasadniczej we wszystkich skalach prowadzonych przez Ośrodek Dokumentacji Geodezyjnej i Kartograficznej.</w:t>
      </w:r>
    </w:p>
    <w:p w14:paraId="47922170" w14:textId="77777777" w:rsidR="00A061C4" w:rsidRPr="004975A2" w:rsidRDefault="00282C7B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 uwagi na prowadzoną Branżową Mapę Numeryczną,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wymagane jest</w:t>
      </w:r>
      <w:r w:rsidR="00960BF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, aby jej zawartość w zakresie </w:t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posiadanej </w:t>
      </w:r>
      <w:r w:rsidR="00960BF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infrastruktury </w:t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była zgodna 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br/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z zasobem mapowym w Ośrodku Dokumentacji Geodezyjnej </w:t>
      </w:r>
      <w:r w:rsidR="00E61E3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br/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i Kartograficznej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(tj. m. in. z Geodezyjną Ewidencją Sieci Uzbrojenia Terenu)</w:t>
      </w:r>
      <w:r w:rsidR="00E61E3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.</w:t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960BF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  </w:t>
      </w:r>
      <w:r w:rsidR="00E61E3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związku z powyższym</w:t>
      </w:r>
      <w:r w:rsidR="004F2AB5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po zakończeniu zadania</w:t>
      </w:r>
      <w:r w:rsidR="001460F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, 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jeden egzemplarz mapy </w:t>
      </w:r>
      <w:r w:rsidR="00B737F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należy </w:t>
      </w:r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dostarc</w:t>
      </w:r>
      <w:r w:rsidR="005805C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zyć w </w:t>
      </w:r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wersji </w:t>
      </w:r>
      <w:proofErr w:type="spellStart"/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analogowej-papierowej</w:t>
      </w:r>
      <w:proofErr w:type="spellEnd"/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, po naniesieniu zmian w zasobie geodezyjnym</w:t>
      </w:r>
      <w:r w:rsidR="00EC29FB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we właściwym Ośrodku Dokumentacji Geodezyjnej i Kartograficznej (także kolejowym) jako dowód wprowadzonej treści</w:t>
      </w:r>
      <w:r w:rsidR="001460F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Mapę należy przekazać </w:t>
      </w:r>
      <w:r w:rsidR="003948B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jako opracowanie </w:t>
      </w:r>
      <w:r w:rsidR="00317AAE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formacie A1 w </w:t>
      </w:r>
      <w:r w:rsidR="003948B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podziale</w:t>
      </w:r>
      <w:r w:rsidR="00317AAE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sekcyjnym</w:t>
      </w:r>
      <w:r w:rsidR="003948B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317AAE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 sk</w:t>
      </w:r>
      <w:r w:rsidR="003948B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a</w:t>
      </w:r>
      <w:r w:rsidR="00317AAE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li 1: 500. </w:t>
      </w:r>
      <w:r w:rsidR="00A408EF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Przedmiotowe opracowanie można przekazać np. w formie mapy do celów opiniodawczych</w:t>
      </w:r>
      <w:r w:rsidR="00317AAE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.</w:t>
      </w:r>
    </w:p>
    <w:p w14:paraId="3DA0100B" w14:textId="77777777" w:rsidR="00A061C4" w:rsidRPr="004975A2" w:rsidRDefault="00D40640" w:rsidP="00305C5F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wyniku 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zaistniałej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potrzeby wykonawcy robót budowlanych</w:t>
      </w:r>
      <w:r w:rsidR="00A3337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bądź Zamawiającego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wykonawca geodezyjny po zakończeniu prac w terenie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zobowiązany będzie</w:t>
      </w:r>
      <w:r w:rsidR="00A3337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terminie do 2 tygodni do przekazania geodezyjnej dokumentacji powykonawczej </w:t>
      </w:r>
      <w:r w:rsidR="00A3337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tym: 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mapy powykonawczej 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(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bez 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konieczności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stosownej klauzuli  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 z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asobu 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g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eodezyjnego</w:t>
      </w:r>
      <w:r w:rsidR="007A3E5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)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i innych materiałów: np. szkiców pomiarowych,   wykazów współrzędnych, lub oświadczeń</w:t>
      </w:r>
      <w:r w:rsidR="0055688C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. P</w:t>
      </w:r>
      <w:r w:rsidR="00A3337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rzedmiotowe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materiały, posłużą do uzyskania stosownych dokumentów umożliwiających </w:t>
      </w:r>
      <w:r w:rsidR="00D55C3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m. in. </w:t>
      </w:r>
      <w:r w:rsidR="006A633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otrzymanie zgodny na użytkownie zrealizowanych obiektów.   </w:t>
      </w:r>
    </w:p>
    <w:p w14:paraId="75F56B59" w14:textId="1A6379D9" w:rsidR="00270836" w:rsidRPr="004975A2" w:rsidRDefault="00D14DB0" w:rsidP="00270836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Dla następujących obiektów: stacja gazowa,  tłocznia, punkt pomiarowy, zespół zaporowo-upustowy, węzeł gazowy,</w:t>
      </w:r>
      <w:r w:rsidR="00B25D49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należy dołączyć dokumentację zdjęciową, która zostanie wykonana dla całego obiektu, nawet w przypadku, gdy zleceniu podlega jedynie jego fragment. Przedmiotowa dokumentacja </w:t>
      </w:r>
      <w:r w:rsidR="00C57A9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zdjęciowa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powinna zostać wykonana  zgodnie z p</w:t>
      </w:r>
      <w:r w:rsidR="00DE610B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unktem</w:t>
      </w:r>
      <w:r w:rsidR="001609A8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Standard danych pomocniczych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zawarty</w:t>
      </w:r>
      <w:r w:rsidR="00DE610B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m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DE610B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w </w:t>
      </w: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Instrukcj</w:t>
      </w:r>
      <w:r w:rsidR="00DE610B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i</w:t>
      </w:r>
      <w:r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</w:t>
      </w:r>
      <w:bookmarkStart w:id="0" w:name="_Hlk69126031"/>
      <w:r w:rsidR="00DE610B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do projektowania infrastruktury systemu przesyłowego w zakresie pozyskiwania i przechowywania danych przestrzennych</w:t>
      </w:r>
      <w:bookmarkEnd w:id="0"/>
      <w:r w:rsidR="0027083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; </w:t>
      </w:r>
      <w:r w:rsidR="00886E01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Standard Bezpieczeństwa Technicznego znak</w:t>
      </w:r>
      <w:r w:rsidR="00270836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="001609A8" w:rsidRPr="00AC1A06">
        <w:rPr>
          <w:i/>
          <w:iCs/>
          <w:color w:val="000000" w:themeColor="text1"/>
        </w:rPr>
        <w:t xml:space="preserve"> 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SBT-PE-</w:t>
      </w:r>
      <w:r w:rsidR="00886E01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I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35</w:t>
      </w:r>
      <w:r w:rsidR="00886E01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pn.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</w:t>
      </w:r>
    </w:p>
    <w:p w14:paraId="65F74A91" w14:textId="738E580B" w:rsidR="0049454C" w:rsidRPr="00AC1A06" w:rsidRDefault="0089631E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pl-PL"/>
        </w:rPr>
      </w:pPr>
      <w:r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Szczegółowe wymagania</w:t>
      </w:r>
      <w:r w:rsidR="004278E3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dotyczące zagadnień  ujętych  w niniejszym </w:t>
      </w:r>
      <w:r w:rsidR="00651A2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dokumencie</w:t>
      </w:r>
      <w:r w:rsidR="004278E3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znajdują się w</w:t>
      </w:r>
      <w:r w:rsidR="008A512D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Standardzie Bezpieczeństwa Technicznego znak</w:t>
      </w:r>
      <w:r w:rsidR="004278E3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 </w:t>
      </w:r>
      <w:bookmarkStart w:id="1" w:name="_Hlk69130330"/>
      <w:r w:rsidR="001609A8" w:rsidRPr="00AC1A06">
        <w:rPr>
          <w:color w:val="000000" w:themeColor="text1"/>
        </w:rPr>
        <w:t xml:space="preserve"> 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SBT-PE-</w:t>
      </w:r>
      <w:r w:rsidR="008A512D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I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35</w:t>
      </w:r>
      <w:r w:rsidR="008A512D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pn.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</w:t>
      </w:r>
      <w:r w:rsidR="008A512D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Instrukcja 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do projektowania infrastruktury systemu przesyłowego w zakresie pozyskiwania i przechowywania danych przestrzennych</w:t>
      </w:r>
      <w:bookmarkEnd w:id="1"/>
      <w:r w:rsidR="004278E3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. </w:t>
      </w:r>
      <w:r w:rsidR="00651A2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W wyniku prowadzenia prac</w:t>
      </w:r>
      <w:r w:rsidR="00033AC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651A2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geodezyjnych Wykonawca przekazuje materiały wymienione w punkcie dotyczącym przyjęci</w:t>
      </w:r>
      <w:r w:rsidR="00033AC7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a</w:t>
      </w:r>
      <w:r w:rsidR="00651A2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danych do zasobów GAZ-SYSTEM S.A., które </w:t>
      </w:r>
      <w:r w:rsidR="00651A2A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lastRenderedPageBreak/>
        <w:t xml:space="preserve">zostały wskazane w </w:t>
      </w:r>
      <w:r w:rsidR="001609A8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przywołanej Instrukcji</w:t>
      </w:r>
      <w:r w:rsidR="00270836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>;</w:t>
      </w:r>
      <w:r w:rsidR="001609A8" w:rsidRPr="00AC1A06"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  <w:t xml:space="preserve"> </w:t>
      </w:r>
      <w:r w:rsidR="008A512D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Standard</w:t>
      </w:r>
      <w:r w:rsidR="00C70197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Bezpieczeństwa Technicznego znak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SBT-PE-</w:t>
      </w:r>
      <w:r w:rsidR="00C70197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I</w:t>
      </w:r>
      <w:r w:rsidR="001609A8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>35</w:t>
      </w:r>
      <w:r w:rsidR="00C70197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pn.</w:t>
      </w:r>
      <w:r w:rsidR="008A512D" w:rsidRPr="00AC1A06">
        <w:rPr>
          <w:rFonts w:ascii="Century Gothic" w:eastAsia="Times New Roman" w:hAnsi="Century Gothic" w:cs="Times New Roman"/>
          <w:i/>
          <w:iCs/>
          <w:color w:val="000000" w:themeColor="text1"/>
          <w:sz w:val="20"/>
          <w:szCs w:val="20"/>
          <w:lang w:eastAsia="pl-PL"/>
        </w:rPr>
        <w:t xml:space="preserve"> </w:t>
      </w:r>
    </w:p>
    <w:p w14:paraId="6FBE4B43" w14:textId="725A47F7" w:rsidR="0049454C" w:rsidRPr="00AC1A06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pl-PL"/>
        </w:rPr>
      </w:pPr>
    </w:p>
    <w:p w14:paraId="0C87CE09" w14:textId="50F7FA1F" w:rsidR="0049454C" w:rsidRPr="00AC1A06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pl-PL"/>
        </w:rPr>
      </w:pPr>
    </w:p>
    <w:p w14:paraId="544362B5" w14:textId="382EA5BA" w:rsidR="0049454C" w:rsidRPr="00AC1A06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pl-PL"/>
        </w:rPr>
      </w:pPr>
    </w:p>
    <w:p w14:paraId="7098A097" w14:textId="2A55C0C2" w:rsidR="0049454C" w:rsidRPr="00AC1A06" w:rsidRDefault="0049454C" w:rsidP="007B0BE0">
      <w:pPr>
        <w:spacing w:after="0" w:line="240" w:lineRule="auto"/>
        <w:ind w:left="1134"/>
        <w:contextualSpacing/>
        <w:jc w:val="both"/>
        <w:rPr>
          <w:rFonts w:ascii="Century Gothic" w:eastAsia="Times New Roman" w:hAnsi="Century Gothic" w:cs="Times New Roman"/>
          <w:b/>
          <w:color w:val="000000" w:themeColor="text1"/>
          <w:sz w:val="20"/>
          <w:szCs w:val="20"/>
          <w:lang w:eastAsia="pl-PL"/>
        </w:rPr>
      </w:pPr>
    </w:p>
    <w:p w14:paraId="3758561F" w14:textId="3F5655C7" w:rsidR="00C20EA3" w:rsidRPr="00AC1A06" w:rsidRDefault="00C20EA3" w:rsidP="007B0BE0">
      <w:pPr>
        <w:spacing w:after="0" w:line="240" w:lineRule="auto"/>
        <w:ind w:left="1701"/>
        <w:contextualSpacing/>
        <w:jc w:val="both"/>
        <w:rPr>
          <w:rFonts w:ascii="Century Gothic" w:eastAsia="Times New Roman" w:hAnsi="Century Gothic" w:cs="Times New Roman"/>
          <w:color w:val="000000" w:themeColor="text1"/>
          <w:sz w:val="20"/>
          <w:szCs w:val="20"/>
          <w:lang w:eastAsia="pl-PL"/>
        </w:rPr>
      </w:pPr>
    </w:p>
    <w:sectPr w:rsidR="00C20EA3" w:rsidRPr="00AC1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DF2D4" w14:textId="77777777" w:rsidR="006A0FA6" w:rsidRDefault="006A0FA6" w:rsidP="001868B6">
      <w:pPr>
        <w:spacing w:after="0" w:line="240" w:lineRule="auto"/>
      </w:pPr>
      <w:r>
        <w:separator/>
      </w:r>
    </w:p>
  </w:endnote>
  <w:endnote w:type="continuationSeparator" w:id="0">
    <w:p w14:paraId="714B71C4" w14:textId="77777777" w:rsidR="006A0FA6" w:rsidRDefault="006A0FA6" w:rsidP="001868B6">
      <w:pPr>
        <w:spacing w:after="0" w:line="240" w:lineRule="auto"/>
      </w:pPr>
      <w:r>
        <w:continuationSeparator/>
      </w:r>
    </w:p>
  </w:endnote>
  <w:endnote w:type="continuationNotice" w:id="1">
    <w:p w14:paraId="3943A387" w14:textId="77777777" w:rsidR="006A0FA6" w:rsidRDefault="006A0F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1F9B9" w14:textId="77777777" w:rsidR="006A0FA6" w:rsidRDefault="006A0FA6" w:rsidP="001868B6">
      <w:pPr>
        <w:spacing w:after="0" w:line="240" w:lineRule="auto"/>
      </w:pPr>
      <w:r>
        <w:separator/>
      </w:r>
    </w:p>
  </w:footnote>
  <w:footnote w:type="continuationSeparator" w:id="0">
    <w:p w14:paraId="65D09FE5" w14:textId="77777777" w:rsidR="006A0FA6" w:rsidRDefault="006A0FA6" w:rsidP="001868B6">
      <w:pPr>
        <w:spacing w:after="0" w:line="240" w:lineRule="auto"/>
      </w:pPr>
      <w:r>
        <w:continuationSeparator/>
      </w:r>
    </w:p>
  </w:footnote>
  <w:footnote w:type="continuationNotice" w:id="1">
    <w:p w14:paraId="157A1B49" w14:textId="77777777" w:rsidR="006A0FA6" w:rsidRDefault="006A0FA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45C25"/>
    <w:multiLevelType w:val="hybridMultilevel"/>
    <w:tmpl w:val="9E1404D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6C32162B"/>
    <w:multiLevelType w:val="hybridMultilevel"/>
    <w:tmpl w:val="4F3AFC9E"/>
    <w:lvl w:ilvl="0" w:tplc="F5CC351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509074">
    <w:abstractNumId w:val="2"/>
  </w:num>
  <w:num w:numId="2" w16cid:durableId="965431252">
    <w:abstractNumId w:val="0"/>
  </w:num>
  <w:num w:numId="3" w16cid:durableId="1353847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1E"/>
    <w:rsid w:val="00033AC7"/>
    <w:rsid w:val="00037738"/>
    <w:rsid w:val="000867CA"/>
    <w:rsid w:val="000F1D06"/>
    <w:rsid w:val="00122825"/>
    <w:rsid w:val="00133A48"/>
    <w:rsid w:val="001460FF"/>
    <w:rsid w:val="001609A8"/>
    <w:rsid w:val="00186002"/>
    <w:rsid w:val="001868B6"/>
    <w:rsid w:val="00192917"/>
    <w:rsid w:val="001B2C05"/>
    <w:rsid w:val="00225309"/>
    <w:rsid w:val="00226711"/>
    <w:rsid w:val="002609E7"/>
    <w:rsid w:val="00270836"/>
    <w:rsid w:val="00282C7B"/>
    <w:rsid w:val="002D75AD"/>
    <w:rsid w:val="002D7787"/>
    <w:rsid w:val="002F305E"/>
    <w:rsid w:val="002F4962"/>
    <w:rsid w:val="00305C5F"/>
    <w:rsid w:val="00317AAE"/>
    <w:rsid w:val="0036203C"/>
    <w:rsid w:val="003948B6"/>
    <w:rsid w:val="003B5CDC"/>
    <w:rsid w:val="003D247C"/>
    <w:rsid w:val="004278E3"/>
    <w:rsid w:val="0044421F"/>
    <w:rsid w:val="00451958"/>
    <w:rsid w:val="0049454C"/>
    <w:rsid w:val="004975A2"/>
    <w:rsid w:val="004F2AB5"/>
    <w:rsid w:val="00520D7A"/>
    <w:rsid w:val="00542D9F"/>
    <w:rsid w:val="005538CD"/>
    <w:rsid w:val="0055688C"/>
    <w:rsid w:val="00573549"/>
    <w:rsid w:val="005805CC"/>
    <w:rsid w:val="005D1AA1"/>
    <w:rsid w:val="005D2EF1"/>
    <w:rsid w:val="00651A2A"/>
    <w:rsid w:val="006900E3"/>
    <w:rsid w:val="00691069"/>
    <w:rsid w:val="006A0FA6"/>
    <w:rsid w:val="006A6337"/>
    <w:rsid w:val="006B072E"/>
    <w:rsid w:val="00725A50"/>
    <w:rsid w:val="00777E20"/>
    <w:rsid w:val="007A3E57"/>
    <w:rsid w:val="007B0BE0"/>
    <w:rsid w:val="00807287"/>
    <w:rsid w:val="00810A16"/>
    <w:rsid w:val="008143BD"/>
    <w:rsid w:val="00815D71"/>
    <w:rsid w:val="008177CB"/>
    <w:rsid w:val="00850034"/>
    <w:rsid w:val="00874A19"/>
    <w:rsid w:val="00886E01"/>
    <w:rsid w:val="00895C86"/>
    <w:rsid w:val="0089631E"/>
    <w:rsid w:val="008A1B7F"/>
    <w:rsid w:val="008A512D"/>
    <w:rsid w:val="009301C6"/>
    <w:rsid w:val="00960BF9"/>
    <w:rsid w:val="009640BC"/>
    <w:rsid w:val="0096528C"/>
    <w:rsid w:val="009868DF"/>
    <w:rsid w:val="00A061C4"/>
    <w:rsid w:val="00A3337D"/>
    <w:rsid w:val="00A408EF"/>
    <w:rsid w:val="00A47794"/>
    <w:rsid w:val="00AA4C0C"/>
    <w:rsid w:val="00AA6E8B"/>
    <w:rsid w:val="00AA7E71"/>
    <w:rsid w:val="00AC1080"/>
    <w:rsid w:val="00AC1A06"/>
    <w:rsid w:val="00AC23E0"/>
    <w:rsid w:val="00B25D49"/>
    <w:rsid w:val="00B4140A"/>
    <w:rsid w:val="00B57804"/>
    <w:rsid w:val="00B737FC"/>
    <w:rsid w:val="00B86B0B"/>
    <w:rsid w:val="00BE3367"/>
    <w:rsid w:val="00C20EA3"/>
    <w:rsid w:val="00C21F66"/>
    <w:rsid w:val="00C57A9D"/>
    <w:rsid w:val="00C70197"/>
    <w:rsid w:val="00D14DB0"/>
    <w:rsid w:val="00D40640"/>
    <w:rsid w:val="00D45004"/>
    <w:rsid w:val="00D45CE4"/>
    <w:rsid w:val="00D55C39"/>
    <w:rsid w:val="00D82F07"/>
    <w:rsid w:val="00DD10D0"/>
    <w:rsid w:val="00DD12B7"/>
    <w:rsid w:val="00DE610B"/>
    <w:rsid w:val="00E34313"/>
    <w:rsid w:val="00E61E3D"/>
    <w:rsid w:val="00E704BE"/>
    <w:rsid w:val="00EC00CA"/>
    <w:rsid w:val="00EC29FB"/>
    <w:rsid w:val="00ED763F"/>
    <w:rsid w:val="00F33599"/>
    <w:rsid w:val="00F51260"/>
    <w:rsid w:val="00F64516"/>
    <w:rsid w:val="00F775BC"/>
    <w:rsid w:val="00F90880"/>
    <w:rsid w:val="00F9531B"/>
    <w:rsid w:val="00FD0BB5"/>
    <w:rsid w:val="00FD76B0"/>
    <w:rsid w:val="19CD8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8F6BEF"/>
  <w15:docId w15:val="{9D3C6B13-30B7-47ED-B369-4203C484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6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631E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31E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31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08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08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08EF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A6337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A6337"/>
    <w:rPr>
      <w:rFonts w:ascii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9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917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D76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10D0"/>
  </w:style>
  <w:style w:type="paragraph" w:styleId="Stopka">
    <w:name w:val="footer"/>
    <w:basedOn w:val="Normalny"/>
    <w:link w:val="StopkaZnak"/>
    <w:uiPriority w:val="99"/>
    <w:semiHidden/>
    <w:unhideWhenUsed/>
    <w:rsid w:val="00DD1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10D0"/>
  </w:style>
  <w:style w:type="paragraph" w:styleId="Poprawka">
    <w:name w:val="Revision"/>
    <w:hidden/>
    <w:uiPriority w:val="99"/>
    <w:semiHidden/>
    <w:rsid w:val="00B4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2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Ciemińska Paulina</cp:lastModifiedBy>
  <cp:revision>4</cp:revision>
  <dcterms:created xsi:type="dcterms:W3CDTF">2023-10-31T12:35:00Z</dcterms:created>
  <dcterms:modified xsi:type="dcterms:W3CDTF">2023-10-31T12:38:00Z</dcterms:modified>
</cp:coreProperties>
</file>