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360CD" w14:textId="77777777" w:rsidR="00AF086A" w:rsidRPr="00216642" w:rsidRDefault="00AF086A" w:rsidP="00AF086A">
      <w:pPr>
        <w:pStyle w:val="Akapitzlist"/>
        <w:numPr>
          <w:ilvl w:val="0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b/>
          <w:bCs/>
          <w:sz w:val="20"/>
          <w:szCs w:val="20"/>
        </w:rPr>
        <w:t>Wymagania jakościowe i techniczne powłok malarskich na obiektach</w:t>
      </w:r>
    </w:p>
    <w:p w14:paraId="01F9342B" w14:textId="3F67C636" w:rsidR="00AF086A" w:rsidRPr="00216642" w:rsidRDefault="00AF086A" w:rsidP="00AF086A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Pokryciu powłokami malarskimi podlega 100% powierzchni części nadziemnej obiektu; </w:t>
      </w:r>
    </w:p>
    <w:p w14:paraId="3EAFE2A3" w14:textId="0B2BD44C" w:rsidR="00AF086A" w:rsidRPr="00216642" w:rsidRDefault="00AF086A" w:rsidP="00AF086A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Obróbkę strumieniowo-ścierną prowadzić do uzyskania klasy Sa 2.5 wg PN-EN ISO 8501-1;</w:t>
      </w:r>
    </w:p>
    <w:p w14:paraId="2EB2199D" w14:textId="77777777" w:rsidR="00AF086A" w:rsidRPr="00216642" w:rsidRDefault="00AF086A" w:rsidP="00AF086A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Pomiar zasolenia oczyszczonego podłoża metodą Bressle’a – dopuszczalny poziom 50 mg/m</w:t>
      </w:r>
      <w:r w:rsidRPr="00216642">
        <w:rPr>
          <w:sz w:val="20"/>
          <w:szCs w:val="20"/>
          <w:vertAlign w:val="superscript"/>
        </w:rPr>
        <w:t xml:space="preserve">2 </w:t>
      </w:r>
      <w:r w:rsidRPr="00216642">
        <w:rPr>
          <w:sz w:val="20"/>
          <w:szCs w:val="20"/>
        </w:rPr>
        <w:t xml:space="preserve"> </w:t>
      </w:r>
    </w:p>
    <w:p w14:paraId="209330D0" w14:textId="0FE6D749" w:rsidR="00AF086A" w:rsidRPr="00216642" w:rsidRDefault="00AF086A" w:rsidP="00AF086A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Ścierniwa (ostrokątne) dobierać tak, aby uzyskać profil chropowatości pomiędzy 50-100 </w:t>
      </w:r>
      <w:r w:rsidRPr="00216642">
        <w:rPr>
          <w:rFonts w:cstheme="minorHAnsi"/>
          <w:sz w:val="20"/>
          <w:szCs w:val="20"/>
        </w:rPr>
        <w:t>µ</w:t>
      </w:r>
      <w:r w:rsidRPr="00216642">
        <w:rPr>
          <w:sz w:val="20"/>
          <w:szCs w:val="20"/>
        </w:rPr>
        <w:t>m;</w:t>
      </w:r>
    </w:p>
    <w:p w14:paraId="4355A0D0" w14:textId="77777777" w:rsidR="00AF086A" w:rsidRPr="00216642" w:rsidRDefault="00AF086A" w:rsidP="00AF086A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Stopień zapylenia/zakurzenia podłoża nie wyższy niż 2 wg PN-EN ISO 8502-3;</w:t>
      </w:r>
    </w:p>
    <w:p w14:paraId="21E7B58F" w14:textId="4B575AA7" w:rsidR="00AF086A" w:rsidRPr="00216642" w:rsidRDefault="00AF086A" w:rsidP="00AF086A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W przypadku, gdyby po obróbce strumieniowo-ściernej ujawniły się odpryski spawalnicze, zadziory, ostre brzegi – należy złagodzić, wyrównać, aby nie utrudniały właściwej aplikacji farby; </w:t>
      </w:r>
    </w:p>
    <w:p w14:paraId="5B5FF96F" w14:textId="77777777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System malarski wg PN-EN ISO 12944-5 dla klasy korozyjności C</w:t>
      </w:r>
      <w:r w:rsidR="009F131C" w:rsidRPr="00216642">
        <w:rPr>
          <w:sz w:val="20"/>
          <w:szCs w:val="20"/>
        </w:rPr>
        <w:t>4</w:t>
      </w:r>
      <w:r w:rsidRPr="00216642">
        <w:rPr>
          <w:sz w:val="20"/>
          <w:szCs w:val="20"/>
        </w:rPr>
        <w:t>, trwałości min H, przy czym:</w:t>
      </w:r>
    </w:p>
    <w:p w14:paraId="25AABC31" w14:textId="77777777" w:rsidR="009F131C" w:rsidRPr="00216642" w:rsidRDefault="00AF086A" w:rsidP="009F131C">
      <w:pPr>
        <w:pStyle w:val="Akapitzlist"/>
        <w:numPr>
          <w:ilvl w:val="2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bezpośrednio na oczyszczoną stal warstwa dwuskładnikowego epoksydu (VS min 65%), </w:t>
      </w:r>
    </w:p>
    <w:p w14:paraId="337A6AD2" w14:textId="77777777" w:rsidR="009F131C" w:rsidRPr="00216642" w:rsidRDefault="00AF086A" w:rsidP="009F131C">
      <w:pPr>
        <w:pStyle w:val="Akapitzlist"/>
        <w:numPr>
          <w:ilvl w:val="2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cały system malarski będzie składający się z minimum 3 warstw (np. 2xEP + 1xPU),</w:t>
      </w:r>
    </w:p>
    <w:p w14:paraId="65E64F56" w14:textId="77777777" w:rsidR="009F131C" w:rsidRPr="00216642" w:rsidRDefault="00AF086A" w:rsidP="009F131C">
      <w:pPr>
        <w:pStyle w:val="Akapitzlist"/>
        <w:numPr>
          <w:ilvl w:val="2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finalną warstwę stanowić będzie dwuskładnikowy poliuretan (VS min 50%).</w:t>
      </w:r>
      <w:r w:rsidRPr="00216642">
        <w:rPr>
          <w:sz w:val="20"/>
          <w:szCs w:val="20"/>
        </w:rPr>
        <w:br/>
        <w:t>Dopuszczamy stosowanie systemów malarskich dla wyższych klas korozyjności (C5, CX)</w:t>
      </w:r>
    </w:p>
    <w:p w14:paraId="41C9A6A9" w14:textId="3BDD4BEC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Malowanie natryskowe jako podstawow</w:t>
      </w:r>
      <w:r w:rsidR="009F131C" w:rsidRPr="00216642">
        <w:rPr>
          <w:sz w:val="20"/>
          <w:szCs w:val="20"/>
        </w:rPr>
        <w:t>a</w:t>
      </w:r>
      <w:r w:rsidRPr="00216642">
        <w:rPr>
          <w:sz w:val="20"/>
          <w:szCs w:val="20"/>
        </w:rPr>
        <w:t xml:space="preserve"> metoda aplikacji każdej warstwy</w:t>
      </w:r>
      <w:r w:rsidR="009F131C" w:rsidRPr="00216642">
        <w:rPr>
          <w:sz w:val="20"/>
          <w:szCs w:val="20"/>
        </w:rPr>
        <w:t>, miejsce wykonywania na terenie malarni wykonawcy lub na terenie budowy</w:t>
      </w:r>
    </w:p>
    <w:p w14:paraId="1B4A84DD" w14:textId="2C5AB0F0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Wyprawki ręczne z użyciem pędzla (nie wałkiem) wykonywać do każdej pełnej warstwy aplikowanej natryskowo (w miejscach trudnodostępnych, wszystkie spoiny, krawędzie, naroża, itp.). </w:t>
      </w:r>
      <w:r w:rsidRPr="00216642">
        <w:rPr>
          <w:sz w:val="20"/>
          <w:szCs w:val="20"/>
        </w:rPr>
        <w:br/>
        <w:t>Ponadto, dopuszczamy operację malowania ręcznego dla takich elementów jak ocynkowane bednarki (żółto-zielone oznaczenia), odtworzenie kolorystyki orurowania (czerwona i czarna symbolika);</w:t>
      </w:r>
      <w:r w:rsidR="009F131C" w:rsidRPr="00216642">
        <w:rPr>
          <w:sz w:val="20"/>
          <w:szCs w:val="20"/>
        </w:rPr>
        <w:t xml:space="preserve"> Dopuszcza się stosowania miejsc uszkodzonych podczas transportu, jeśli dla powierzchni nie większych niż </w:t>
      </w:r>
      <w:r w:rsidR="008F4655" w:rsidRPr="00216642">
        <w:rPr>
          <w:sz w:val="20"/>
          <w:szCs w:val="20"/>
        </w:rPr>
        <w:t>4</w:t>
      </w:r>
      <w:r w:rsidR="009F131C" w:rsidRPr="00216642">
        <w:rPr>
          <w:sz w:val="20"/>
          <w:szCs w:val="20"/>
        </w:rPr>
        <w:t>cm</w:t>
      </w:r>
      <w:r w:rsidR="009F131C" w:rsidRPr="00216642">
        <w:rPr>
          <w:sz w:val="20"/>
          <w:szCs w:val="20"/>
          <w:vertAlign w:val="superscript"/>
        </w:rPr>
        <w:t>2</w:t>
      </w:r>
      <w:r w:rsidR="009F131C" w:rsidRPr="00216642">
        <w:rPr>
          <w:sz w:val="20"/>
          <w:szCs w:val="20"/>
        </w:rPr>
        <w:t xml:space="preserve">. W innych przypadkach wykonach ponownie powłokę </w:t>
      </w:r>
      <w:r w:rsidR="008F4655" w:rsidRPr="00216642">
        <w:rPr>
          <w:sz w:val="20"/>
          <w:szCs w:val="20"/>
        </w:rPr>
        <w:t xml:space="preserve">z zastosowaniem metody natryskowej, </w:t>
      </w:r>
      <w:r w:rsidR="009F131C" w:rsidRPr="00216642">
        <w:rPr>
          <w:sz w:val="20"/>
          <w:szCs w:val="20"/>
        </w:rPr>
        <w:t xml:space="preserve">oczyszczają </w:t>
      </w:r>
      <w:r w:rsidR="008F4655" w:rsidRPr="00216642">
        <w:rPr>
          <w:sz w:val="20"/>
          <w:szCs w:val="20"/>
        </w:rPr>
        <w:t xml:space="preserve">cały </w:t>
      </w:r>
      <w:r w:rsidR="009F131C" w:rsidRPr="00216642">
        <w:rPr>
          <w:sz w:val="20"/>
          <w:szCs w:val="20"/>
        </w:rPr>
        <w:t>element zgodnie z wytycznymi niniejsz</w:t>
      </w:r>
      <w:r w:rsidR="008F4655" w:rsidRPr="00216642">
        <w:rPr>
          <w:sz w:val="20"/>
          <w:szCs w:val="20"/>
        </w:rPr>
        <w:t>ych</w:t>
      </w:r>
      <w:r w:rsidR="009F131C" w:rsidRPr="00216642">
        <w:rPr>
          <w:sz w:val="20"/>
          <w:szCs w:val="20"/>
        </w:rPr>
        <w:t xml:space="preserve"> wymagań</w:t>
      </w:r>
      <w:r w:rsidR="008F4655" w:rsidRPr="00216642">
        <w:rPr>
          <w:sz w:val="20"/>
          <w:szCs w:val="20"/>
        </w:rPr>
        <w:t>.</w:t>
      </w:r>
    </w:p>
    <w:p w14:paraId="1BC5268E" w14:textId="77777777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Nie malować ocynkowanych bądź aluminiowych powierzchni bezpośrednio lakierem (farbą nawierzchniową), zastosować grunt a właściwościach adhezyjnych dla takich podłoży;</w:t>
      </w:r>
    </w:p>
    <w:p w14:paraId="485E1323" w14:textId="77777777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Na odcinku rury wychodzącej z ziemi ponad grunt – aplikować dodatkową warstwę epoksydu </w:t>
      </w:r>
      <w:r w:rsidRPr="00216642">
        <w:rPr>
          <w:sz w:val="20"/>
          <w:szCs w:val="20"/>
        </w:rPr>
        <w:br/>
        <w:t xml:space="preserve">(+DFT </w:t>
      </w:r>
      <w:r w:rsidRPr="00216642">
        <w:rPr>
          <w:rFonts w:cstheme="minorHAnsi"/>
          <w:sz w:val="20"/>
          <w:szCs w:val="20"/>
        </w:rPr>
        <w:t>≈</w:t>
      </w:r>
      <w:r w:rsidRPr="00216642">
        <w:rPr>
          <w:sz w:val="20"/>
          <w:szCs w:val="20"/>
        </w:rPr>
        <w:t xml:space="preserve"> 80-100 um) do wysokości około 80 cm ponad powierzchnię gruntu;</w:t>
      </w:r>
    </w:p>
    <w:p w14:paraId="0BA96FAA" w14:textId="77777777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Przestrzegać warunków klimatycznych – każdorazowo przed rozpoczęciem malowania wykonać pomiar miernikiem klimatu Dew Chieck – jeżeli temperatura punktu rosy otaczającego powietrza NIE spełnia warunku „</w:t>
      </w:r>
      <w:r w:rsidRPr="00216642">
        <w:rPr>
          <w:rFonts w:cstheme="minorHAnsi"/>
          <w:sz w:val="20"/>
          <w:szCs w:val="20"/>
        </w:rPr>
        <w:t xml:space="preserve">∆ </w:t>
      </w:r>
      <w:r w:rsidRPr="00216642">
        <w:rPr>
          <w:sz w:val="20"/>
          <w:szCs w:val="20"/>
        </w:rPr>
        <w:t>&gt; 3” – nie malować;</w:t>
      </w:r>
    </w:p>
    <w:p w14:paraId="4EB70968" w14:textId="77777777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Prowadząc prace, przewidywać pogodę: </w:t>
      </w:r>
    </w:p>
    <w:p w14:paraId="51318DE9" w14:textId="77777777" w:rsidR="009F131C" w:rsidRPr="00216642" w:rsidRDefault="00AF086A" w:rsidP="009F131C">
      <w:pPr>
        <w:pStyle w:val="Akapitzlist"/>
        <w:numPr>
          <w:ilvl w:val="2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W przypadku ryzyka wystąpienia opadu atmosferycznego w ciągu 12 godz. od przewidywanego zakończenia malowania (przy założonej temperaturze otoczenia 15-20*C) – nie malować;</w:t>
      </w:r>
    </w:p>
    <w:p w14:paraId="6D382E6A" w14:textId="77777777" w:rsidR="009F131C" w:rsidRPr="00216642" w:rsidRDefault="00AF086A" w:rsidP="009F131C">
      <w:pPr>
        <w:pStyle w:val="Akapitzlist"/>
        <w:numPr>
          <w:ilvl w:val="2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W przypadku ryzyka wystąpienia wysokich temperatur – planować malowanie tak, aby ukończyć przed południem. W skrajnych przypadkach - przełożyć malowanie na korzystniejsze warunki;</w:t>
      </w:r>
    </w:p>
    <w:p w14:paraId="73BCA5D5" w14:textId="77777777" w:rsidR="009F131C" w:rsidRPr="00216642" w:rsidRDefault="00AF086A" w:rsidP="009F131C">
      <w:pPr>
        <w:pStyle w:val="Akapitzlist"/>
        <w:numPr>
          <w:ilvl w:val="2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W przypadku wilgotności powietrza &gt; 80% - nie malować;</w:t>
      </w:r>
    </w:p>
    <w:p w14:paraId="2AE8F643" w14:textId="77777777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Kontrolować temperatury malowanego podłoża stalowego – nie wykraczać poza zakres temperaturowy podawany w kartach technicznych farb; </w:t>
      </w:r>
    </w:p>
    <w:p w14:paraId="313AB36F" w14:textId="77777777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lastRenderedPageBreak/>
        <w:t>Jeśli zajdzie konieczność – podjąć zabiegi potrzebne do stworzenia sztucznych warunków korzystnych malowaniu i/lub obróbce strumieniowo-ściernej (temperatura, klimat, namioty, osuszacze, grzanie)</w:t>
      </w:r>
    </w:p>
    <w:p w14:paraId="440E5FB1" w14:textId="77777777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Stosować utwardzacze właściwe dla danej pory roku;</w:t>
      </w:r>
    </w:p>
    <w:p w14:paraId="54A5F6B6" w14:textId="77777777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Aparaty malarskie oraz węże powinny być przepłukane, filtry czyste, a zużyte i niesprawne części – wymienione na nowe. Przełożenie pompy, jej wydajność – zgodna z kartami technicznymi farb; </w:t>
      </w:r>
    </w:p>
    <w:p w14:paraId="590F2C0E" w14:textId="77777777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Stosować wąskie dysze celem minimalizacji suchego natrysku i nadmiernego zużycia farby;</w:t>
      </w:r>
    </w:p>
    <w:p w14:paraId="2FCDF07C" w14:textId="77777777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Mieszadła mechaniczne dedykowane do prac malarskich – wyczyszczone, najlepiej wypiaskowane; nie akceptujemy mieszadeł, które pokryte są grubą warstwą farb z poprzednich malowań. </w:t>
      </w:r>
      <w:r w:rsidRPr="00216642">
        <w:rPr>
          <w:sz w:val="20"/>
          <w:szCs w:val="20"/>
        </w:rPr>
        <w:br/>
        <w:t>UWAGA: Stosowanie do rozrabiania farb, np. drewnianych desek lub tym podobnych elementów daje Inwestorowi podstawę do wstrzymania prac malarskich Wykonawcy;</w:t>
      </w:r>
    </w:p>
    <w:p w14:paraId="68C1829D" w14:textId="77777777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Dbać o czystość i schludność prowadzenia prac malarskich – wydzielić stanowisko gdzie będą składowane i rozrabiane farby, stanowisko dla pompy malarskiej, agregatu; rozłożyć pod stanowiskiem np. plandekę, celem ochrony podłoża na czas prowadzenia prac malarskich;</w:t>
      </w:r>
    </w:p>
    <w:p w14:paraId="5AD33F28" w14:textId="77777777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Malowanie pierwszej warstwy przeprowadzić tak szybko, jak to możliwe, aby powierzchnia nie utraciła klasy. W przeciwnym przypadku – wykonać reblast. W żadnym wypadku nie malować wypiaskowanej powierzchni pokrytej wtórną korozją (flash rust’em);</w:t>
      </w:r>
    </w:p>
    <w:p w14:paraId="44E24A70" w14:textId="77777777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Skoordynować prace malarskie z aplikacją powłoki PUR na przejściach „ziemia-powietrze”</w:t>
      </w:r>
    </w:p>
    <w:p w14:paraId="6B53B078" w14:textId="77777777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Po każdej pełnej warstwie wymalowanej natryskowo, wykonać przegląd (</w:t>
      </w:r>
      <w:r w:rsidRPr="00216642">
        <w:rPr>
          <w:i/>
          <w:iCs/>
          <w:sz w:val="20"/>
          <w:szCs w:val="20"/>
        </w:rPr>
        <w:t>samokontrola wykonanego malowania</w:t>
      </w:r>
      <w:r w:rsidRPr="00216642">
        <w:rPr>
          <w:sz w:val="20"/>
          <w:szCs w:val="20"/>
        </w:rPr>
        <w:t xml:space="preserve">) i na bieżąco korygować pojawiające się niezgodności (zacieki, wtrącenia, wklejone owady, niedomalowania, omijaki, braki w grubościach) - dopiero po tak wykonywanych operacjach/korektach, zgłaszać oficjalne odbiory Inwestorowi. </w:t>
      </w:r>
    </w:p>
    <w:p w14:paraId="75C8622A" w14:textId="77777777" w:rsidR="009F131C" w:rsidRPr="00216642" w:rsidRDefault="00AF086A" w:rsidP="009F131C">
      <w:pPr>
        <w:pStyle w:val="Akapitzlist"/>
        <w:numPr>
          <w:ilvl w:val="2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Odbiory zgłaszać z wyprzedzeniem czasowym po każdej pełnej warstwie, a także po obróbce strumieniowo-ściernej celem dopuszczenia do malowania pierwszej warstwy;  </w:t>
      </w:r>
    </w:p>
    <w:p w14:paraId="42457DE6" w14:textId="77777777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Materiały stosowane do zabezpieczeń powinny być adekwatne do danej operacji: </w:t>
      </w:r>
    </w:p>
    <w:p w14:paraId="156F7496" w14:textId="77777777" w:rsidR="009F131C" w:rsidRPr="00216642" w:rsidRDefault="00AF086A" w:rsidP="009F131C">
      <w:pPr>
        <w:pStyle w:val="Akapitzlist"/>
        <w:numPr>
          <w:ilvl w:val="2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do obróbki strumieniowo-ściernej stosować np. osłony gumowe, docięte elementy sklejki lub płyty MDF, taśmy/arkusze cienkiej blachy, lub inne, opierające się sile kinetycznej ścierniwa;</w:t>
      </w:r>
    </w:p>
    <w:p w14:paraId="071A6989" w14:textId="77777777" w:rsidR="009F131C" w:rsidRPr="00216642" w:rsidRDefault="00AF086A" w:rsidP="009F131C">
      <w:pPr>
        <w:pStyle w:val="Akapitzlist"/>
        <w:numPr>
          <w:ilvl w:val="2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Stosowanie folii bądź plandek rusztowaniowych na czas obróbki strumieniowo-ściernej – nieakceptowalne. Nie stosować tego samego zabezpieczenia do malowania – wymienić na nowe, np. folie stretch, plandeki, na czas aplikacji farb;</w:t>
      </w:r>
    </w:p>
    <w:p w14:paraId="646CD345" w14:textId="77777777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W przypadku uszkodzenia elementów niemalowanych, Wykonawca będzie zobligowany dokonać napraw/wymienić elementy na nowe;</w:t>
      </w:r>
    </w:p>
    <w:p w14:paraId="390E06D7" w14:textId="77777777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W przypadku malowania armatury/oznaczeń/symboli o odmiennych kolorach od żółtego orurowania, dopuszcza się malowanie ręczne. Oznaczenia, symbolika (strzałki, czerwone paski, itp.) – malować wg wcześniej przygotowanych szablonów bądź wyklejonych na powierzchni wzorów.   </w:t>
      </w:r>
    </w:p>
    <w:p w14:paraId="55EF81E2" w14:textId="77777777" w:rsidR="009F131C" w:rsidRPr="00216642" w:rsidRDefault="00AF086A" w:rsidP="009F131C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Odtworzyć kolorystykę armatury, oznaczenia ciśnień (czerwone paski po obwodzie rur, itp), zgodnie z wewnętrznymi procedurami Inwestora:</w:t>
      </w:r>
    </w:p>
    <w:p w14:paraId="07A84D42" w14:textId="77777777" w:rsidR="009F131C" w:rsidRPr="00216642" w:rsidRDefault="00AF086A" w:rsidP="009F131C">
      <w:pPr>
        <w:pStyle w:val="Akapitzlist"/>
        <w:numPr>
          <w:ilvl w:val="2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gazociągi – kolor żółty, </w:t>
      </w:r>
    </w:p>
    <w:p w14:paraId="55C1AB57" w14:textId="77777777" w:rsidR="009F131C" w:rsidRPr="00216642" w:rsidRDefault="00AF086A" w:rsidP="009F131C">
      <w:pPr>
        <w:pStyle w:val="Akapitzlist"/>
        <w:numPr>
          <w:ilvl w:val="2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pokrętła armatury – kolor czerwony lub czarny, </w:t>
      </w:r>
    </w:p>
    <w:p w14:paraId="52006F7F" w14:textId="77777777" w:rsidR="009F131C" w:rsidRPr="00216642" w:rsidRDefault="00AF086A" w:rsidP="009F131C">
      <w:pPr>
        <w:pStyle w:val="Akapitzlist"/>
        <w:numPr>
          <w:ilvl w:val="2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lastRenderedPageBreak/>
        <w:t xml:space="preserve">kierunki przepływu – kolor czarny, </w:t>
      </w:r>
    </w:p>
    <w:p w14:paraId="6687794F" w14:textId="77777777" w:rsidR="009F131C" w:rsidRPr="00216642" w:rsidRDefault="00AF086A" w:rsidP="009F131C">
      <w:pPr>
        <w:pStyle w:val="Akapitzlist"/>
        <w:numPr>
          <w:ilvl w:val="2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gazociągi o ciśnieniu P &gt; 1,6 MPa – na obwodzie cztery paski czerwone szer. 15 mm, odstęp 20 mm, </w:t>
      </w:r>
    </w:p>
    <w:p w14:paraId="18EEF7DF" w14:textId="77777777" w:rsidR="009F131C" w:rsidRPr="00216642" w:rsidRDefault="00AF086A" w:rsidP="009F131C">
      <w:pPr>
        <w:pStyle w:val="Akapitzlist"/>
        <w:numPr>
          <w:ilvl w:val="2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gazociągi o ciśnieniu 0,5 - 1,6 MPa włącznie –trzy paski czerwone szer. 15 mm, odstęp 20 mm, </w:t>
      </w:r>
    </w:p>
    <w:p w14:paraId="2B1641C3" w14:textId="77777777" w:rsidR="009F131C" w:rsidRPr="00216642" w:rsidRDefault="00AF086A" w:rsidP="009F131C">
      <w:pPr>
        <w:pStyle w:val="Akapitzlist"/>
        <w:numPr>
          <w:ilvl w:val="2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gazociągi o ciśnieniu od 10 kPa do 0,5 MPa włącznie – dwa paski czerwone szer.15 mm, odstęp mm, </w:t>
      </w:r>
    </w:p>
    <w:p w14:paraId="27627080" w14:textId="77777777" w:rsidR="009F131C" w:rsidRPr="00216642" w:rsidRDefault="00AF086A" w:rsidP="009F131C">
      <w:pPr>
        <w:pStyle w:val="Akapitzlist"/>
        <w:numPr>
          <w:ilvl w:val="2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gazociągi o ciśnieniu do 10 kPa włącznie – jeden pasek czerwony o szerokości 15 mm, </w:t>
      </w:r>
    </w:p>
    <w:p w14:paraId="74107D77" w14:textId="77777777" w:rsidR="009F131C" w:rsidRPr="00216642" w:rsidRDefault="00AF086A" w:rsidP="009F131C">
      <w:pPr>
        <w:pStyle w:val="Akapitzlist"/>
        <w:numPr>
          <w:ilvl w:val="2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rury wydmuchowe i upustowe z urządzeń odpowietrzających i zabezpieczających – kolor żółty lub wynikający z materiału stali kwasoodpornej, jeżeli taką zastosowano, </w:t>
      </w:r>
    </w:p>
    <w:p w14:paraId="63FDE95D" w14:textId="77777777" w:rsidR="009F131C" w:rsidRPr="00216642" w:rsidRDefault="00AF086A" w:rsidP="009F131C">
      <w:pPr>
        <w:pStyle w:val="Akapitzlist"/>
        <w:numPr>
          <w:ilvl w:val="2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armatura i pozostałe urządzenia – kolor żółty lub kolor dostawcy, </w:t>
      </w:r>
    </w:p>
    <w:p w14:paraId="4CE6979A" w14:textId="77777777" w:rsidR="009F131C" w:rsidRPr="00216642" w:rsidRDefault="00AF086A" w:rsidP="009F131C">
      <w:pPr>
        <w:pStyle w:val="Akapitzlist"/>
        <w:numPr>
          <w:ilvl w:val="2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oznakowanie uziomów – kolor żółto-zielony (odtworzyć istniejący), </w:t>
      </w:r>
    </w:p>
    <w:p w14:paraId="5C692B32" w14:textId="77777777" w:rsidR="009F131C" w:rsidRPr="00216642" w:rsidRDefault="00AF086A" w:rsidP="009F131C">
      <w:pPr>
        <w:pStyle w:val="Akapitzlist"/>
        <w:numPr>
          <w:ilvl w:val="2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oznakowanie progów i stopni stanowiących różnicę poziomów lub miejsc (konstrukcji) stwarzających zagrożenie – kolor żółto-czarny</w:t>
      </w:r>
    </w:p>
    <w:p w14:paraId="23ACDA2C" w14:textId="77777777" w:rsidR="00CE4B09" w:rsidRPr="00216642" w:rsidRDefault="00AF086A" w:rsidP="00CE4B09">
      <w:pPr>
        <w:pStyle w:val="Akapitzlist"/>
        <w:numPr>
          <w:ilvl w:val="0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b/>
          <w:bCs/>
          <w:sz w:val="20"/>
          <w:szCs w:val="20"/>
        </w:rPr>
        <w:t xml:space="preserve">Wymagania </w:t>
      </w:r>
      <w:r w:rsidR="009F131C" w:rsidRPr="00216642">
        <w:rPr>
          <w:b/>
          <w:bCs/>
          <w:sz w:val="20"/>
          <w:szCs w:val="20"/>
        </w:rPr>
        <w:t xml:space="preserve">jakościowe i techniczne </w:t>
      </w:r>
      <w:r w:rsidRPr="00216642">
        <w:rPr>
          <w:b/>
          <w:bCs/>
          <w:sz w:val="20"/>
          <w:szCs w:val="20"/>
        </w:rPr>
        <w:t xml:space="preserve">dotyczące </w:t>
      </w:r>
      <w:r w:rsidR="009F131C" w:rsidRPr="00216642">
        <w:rPr>
          <w:b/>
          <w:bCs/>
          <w:sz w:val="20"/>
          <w:szCs w:val="20"/>
        </w:rPr>
        <w:t>wykonywania</w:t>
      </w:r>
      <w:r w:rsidRPr="00216642">
        <w:rPr>
          <w:b/>
          <w:bCs/>
          <w:sz w:val="20"/>
          <w:szCs w:val="20"/>
        </w:rPr>
        <w:t xml:space="preserve"> przejść „ziemia-powietrze” na </w:t>
      </w:r>
      <w:r w:rsidR="009F131C" w:rsidRPr="00216642">
        <w:rPr>
          <w:b/>
          <w:bCs/>
          <w:sz w:val="20"/>
          <w:szCs w:val="20"/>
        </w:rPr>
        <w:t>obiektach</w:t>
      </w:r>
    </w:p>
    <w:p w14:paraId="0CDD081A" w14:textId="77777777" w:rsidR="00CE4B09" w:rsidRPr="00216642" w:rsidRDefault="00CE4B09" w:rsidP="00CE4B09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N</w:t>
      </w:r>
      <w:r w:rsidR="00AF086A" w:rsidRPr="00216642">
        <w:rPr>
          <w:sz w:val="20"/>
          <w:szCs w:val="20"/>
        </w:rPr>
        <w:t xml:space="preserve">ależy wykonać kompleksową </w:t>
      </w:r>
      <w:r w:rsidRPr="00216642">
        <w:rPr>
          <w:sz w:val="20"/>
          <w:szCs w:val="20"/>
        </w:rPr>
        <w:t>powłokę</w:t>
      </w:r>
      <w:r w:rsidR="00AF086A" w:rsidRPr="00216642">
        <w:rPr>
          <w:sz w:val="20"/>
          <w:szCs w:val="20"/>
        </w:rPr>
        <w:t xml:space="preserve"> przejść ziemia-powietrze:</w:t>
      </w:r>
    </w:p>
    <w:p w14:paraId="65C768CD" w14:textId="77777777" w:rsidR="00CE4B09" w:rsidRPr="00216642" w:rsidRDefault="00AF086A" w:rsidP="00CE4B09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Usunąć istniejące izolacje na drodze obróbki strumieniowo-ściernej do klasy Sa 2 ½ ;</w:t>
      </w:r>
    </w:p>
    <w:p w14:paraId="3182C462" w14:textId="77777777" w:rsidR="00CE4B09" w:rsidRPr="00216642" w:rsidRDefault="00AF086A" w:rsidP="00CE4B09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Nałożyć systemy izolacyjne, zgodne z obecnym stanem wiedzy oraz dostępnymi technologiami – izolacje PUR typ 3 klasy B wg PN-EN 10290, o grubości 1500 um</w:t>
      </w:r>
    </w:p>
    <w:p w14:paraId="703B4E54" w14:textId="77777777" w:rsidR="00CE4B09" w:rsidRPr="00216642" w:rsidRDefault="00AF086A" w:rsidP="00CE4B09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Izolacja na przejściu ziemia-powietrza powinna sięgać około 30 cm wgłąb ziemi oraz 40 cm ponad powierzchnię gruntu,</w:t>
      </w:r>
    </w:p>
    <w:p w14:paraId="7B200F49" w14:textId="0613207B" w:rsidR="00CE4B09" w:rsidRPr="00216642" w:rsidRDefault="00AF086A" w:rsidP="00CE4B09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W części podziemnej należy wykonać odpowiednią zakładkę na izolację podziemną, po czym podziemny odcinek przejścia „PUR-izolacja” zawinąć dodatkowo taśmą, celem doszczelnienia;</w:t>
      </w:r>
    </w:p>
    <w:p w14:paraId="01105213" w14:textId="77777777" w:rsidR="00CE4B09" w:rsidRPr="00216642" w:rsidRDefault="00AF086A" w:rsidP="00CE4B09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Część nadziemne łagodnie sfazować, zaś powłoki malarskie nachodzące na PUR wykonać na zakładkę, przy czym „zakładka” ma być wykonana z pełnego systemu malarskiego (EP+PU);</w:t>
      </w:r>
    </w:p>
    <w:p w14:paraId="5533D346" w14:textId="77777777" w:rsidR="00CE4B09" w:rsidRPr="00216642" w:rsidRDefault="00AF086A" w:rsidP="00CE4B09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Wszystkie powierzchnie izolacji PUR wychodzące ponad powierzchnię ziemi, obligatoryjnie przemalować czarnym dwuskładnikowym lakierem poliuretanowym odpornym na UV, zawczasu chropowacąc powierzchnię PUR (=traktując papierem ściernym, nadając jej minimum rozwinięcia powierzchni podłoża);</w:t>
      </w:r>
    </w:p>
    <w:p w14:paraId="3DBBB658" w14:textId="77777777" w:rsidR="00CE4B09" w:rsidRPr="00216642" w:rsidRDefault="00AF086A" w:rsidP="00CE4B09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Przestrzegać, aby linie odcięcia pomiędzy czarnym przejściem „ziemia-powietrze” a żółtą barwą naziemnego orurowania, na całym orurowaniu obiektu, wypadało na podobnej wysokości (dopuszczalna odchyłka +/- 3 cm);</w:t>
      </w:r>
    </w:p>
    <w:p w14:paraId="296DD19D" w14:textId="5B1609D1" w:rsidR="00AF086A" w:rsidRPr="00216642" w:rsidRDefault="00AF086A" w:rsidP="00AF086A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Szczegółowe wymagania jakościowe dotyczące przygotowania podłoża – jak dla powłok malarskich;</w:t>
      </w:r>
      <w:bookmarkStart w:id="0" w:name="_Hlk147145678"/>
    </w:p>
    <w:bookmarkEnd w:id="0"/>
    <w:p w14:paraId="0ED86C39" w14:textId="77777777" w:rsidR="008F4655" w:rsidRPr="00216642" w:rsidRDefault="00AF086A" w:rsidP="008F4655">
      <w:pPr>
        <w:pStyle w:val="Akapitzlist"/>
        <w:numPr>
          <w:ilvl w:val="0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b/>
          <w:bCs/>
          <w:sz w:val="20"/>
          <w:szCs w:val="20"/>
        </w:rPr>
        <w:t>Wymagania dotyczące dokumentacji przygotowawczej oraz odbiorowej, powykonawczej</w:t>
      </w:r>
    </w:p>
    <w:p w14:paraId="3B45A9C6" w14:textId="43B20E25" w:rsidR="00216642" w:rsidRPr="00216642" w:rsidRDefault="00216642" w:rsidP="00216642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 xml:space="preserve">Przed rozpoczęciem prac Wykonawca jest zobowiązany do uzgodnienia z Inwestorem „Instrukcji technologicznej wykonania powłok malarskiej”. W przypadku wykonania prac przed uzgodnieniem stosownej instrukcji, Wykonawca jest zobowiązany oczyścić wszystkie wykonane powłoki i wykonać ponownie. </w:t>
      </w:r>
    </w:p>
    <w:p w14:paraId="69DC65F1" w14:textId="759639FF" w:rsidR="008F4655" w:rsidRPr="00216642" w:rsidRDefault="008F4655" w:rsidP="008F4655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lastRenderedPageBreak/>
        <w:t xml:space="preserve">Instrukcja technologiczna powinna zawierać „Specyfikację Malarską”. </w:t>
      </w:r>
      <w:r w:rsidR="00AF086A" w:rsidRPr="00216642">
        <w:rPr>
          <w:sz w:val="20"/>
          <w:szCs w:val="20"/>
        </w:rPr>
        <w:t>Dokument może być sporządzony np. wg wzoru załączonego w PN-EN ISO 12944-8 załącznik G. W dokumencie takim należy przedstawić m.in. rodzaje poszczególnych farb, przedstawić pełen system malarski, zapotrzebowanie (litraż) farb w rozbiciu na poszczególne warstwy, oraz kompletną i chronologiczną sekwencję planowanych prac konserwacyjnych;</w:t>
      </w:r>
    </w:p>
    <w:p w14:paraId="65CF100C" w14:textId="77777777" w:rsidR="008F4655" w:rsidRPr="00216642" w:rsidRDefault="00AF086A" w:rsidP="008F4655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Protokoły cząstkowe (międzyoperacyjne odbiory poszczególnych warstw oraz przygotowania podłoża do malowania) wykonywany np. wg wzoru załączonego w PN-EN ISO 12944-8 załącznik H; protokoły te należy sporządzać na bieżąco do każdej warstwy malarskiej oraz oczyszczenia podłoża;</w:t>
      </w:r>
    </w:p>
    <w:p w14:paraId="52B820F1" w14:textId="77777777" w:rsidR="008F4655" w:rsidRPr="00216642" w:rsidRDefault="00AF086A" w:rsidP="008F4655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Protokół odbiorowy końcowy (dla całości prac) przygotowany np. wg wzoru załączonego w PN-EN ISO 12944-8 załącznik I;</w:t>
      </w:r>
    </w:p>
    <w:p w14:paraId="663EF221" w14:textId="77777777" w:rsidR="008F4655" w:rsidRPr="00216642" w:rsidRDefault="00AF086A" w:rsidP="008F4655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Dla każdego z powyższych protokołów oraz etapów prowadzenia prac sporządzić dokumentację zdjęciową (przygotowanie podłoża, aplikacja farb na poszczególne warstwy, prace wykończeniowe);</w:t>
      </w:r>
    </w:p>
    <w:p w14:paraId="28FCB8D3" w14:textId="19B39D52" w:rsidR="002E04AB" w:rsidRPr="00216642" w:rsidRDefault="00AF086A" w:rsidP="008F4655">
      <w:pPr>
        <w:pStyle w:val="Akapitzlist"/>
        <w:numPr>
          <w:ilvl w:val="1"/>
          <w:numId w:val="1"/>
        </w:numPr>
        <w:spacing w:line="360" w:lineRule="auto"/>
        <w:rPr>
          <w:b/>
          <w:bCs/>
          <w:sz w:val="20"/>
          <w:szCs w:val="20"/>
        </w:rPr>
      </w:pPr>
      <w:r w:rsidRPr="00216642">
        <w:rPr>
          <w:sz w:val="20"/>
          <w:szCs w:val="20"/>
        </w:rPr>
        <w:t>Dokumentacja powykonawcza powinna zawierać Karty Techniczne wszystkich stosowanych produktów malarskich, ścierniw, ich świadectwa jakości;</w:t>
      </w:r>
    </w:p>
    <w:sectPr w:rsidR="002E04AB" w:rsidRPr="002166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A0EF5" w14:textId="77777777" w:rsidR="00842CDD" w:rsidRDefault="00842CDD" w:rsidP="00AF086A">
      <w:pPr>
        <w:spacing w:after="0" w:line="240" w:lineRule="auto"/>
      </w:pPr>
      <w:r>
        <w:separator/>
      </w:r>
    </w:p>
  </w:endnote>
  <w:endnote w:type="continuationSeparator" w:id="0">
    <w:p w14:paraId="74B49C33" w14:textId="77777777" w:rsidR="00842CDD" w:rsidRDefault="00842CDD" w:rsidP="00AF0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9FA59" w14:textId="77777777" w:rsidR="00842CDD" w:rsidRDefault="00842CDD" w:rsidP="00AF086A">
      <w:pPr>
        <w:spacing w:after="0" w:line="240" w:lineRule="auto"/>
      </w:pPr>
      <w:r>
        <w:separator/>
      </w:r>
    </w:p>
  </w:footnote>
  <w:footnote w:type="continuationSeparator" w:id="0">
    <w:p w14:paraId="3D33C871" w14:textId="77777777" w:rsidR="00842CDD" w:rsidRDefault="00842CDD" w:rsidP="00AF0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2761A" w14:textId="208E1921" w:rsidR="00B44BE2" w:rsidRPr="00B44BE2" w:rsidRDefault="00AB0AB5" w:rsidP="00B44BE2">
    <w:pPr>
      <w:pStyle w:val="Nagwek"/>
      <w:jc w:val="center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647DC"/>
    <w:multiLevelType w:val="hybridMultilevel"/>
    <w:tmpl w:val="217E6AC2"/>
    <w:lvl w:ilvl="0" w:tplc="086C722A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  <w:b/>
        <w:bCs/>
        <w:color w:val="C0000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821589"/>
    <w:multiLevelType w:val="hybridMultilevel"/>
    <w:tmpl w:val="DDBADCA6"/>
    <w:lvl w:ilvl="0" w:tplc="7500EF86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  <w:b/>
        <w:bCs/>
        <w:color w:val="C00000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6655D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00B0F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8B3E64"/>
    <w:multiLevelType w:val="hybridMultilevel"/>
    <w:tmpl w:val="E6B42994"/>
    <w:lvl w:ilvl="0" w:tplc="896C6514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  <w:b/>
        <w:bCs/>
        <w:color w:val="C00000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ED25024"/>
    <w:multiLevelType w:val="hybridMultilevel"/>
    <w:tmpl w:val="3A10CB16"/>
    <w:lvl w:ilvl="0" w:tplc="81D427E8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/>
        <w:color w:val="00B0F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A0F7229"/>
    <w:multiLevelType w:val="hybridMultilevel"/>
    <w:tmpl w:val="BFACB4BA"/>
    <w:lvl w:ilvl="0" w:tplc="F0B015B6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  <w:b/>
        <w:bCs/>
        <w:color w:val="C00000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EED1722"/>
    <w:multiLevelType w:val="multilevel"/>
    <w:tmpl w:val="7C02E7B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F8A21C1"/>
    <w:multiLevelType w:val="hybridMultilevel"/>
    <w:tmpl w:val="612AE800"/>
    <w:lvl w:ilvl="0" w:tplc="042A022C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  <w:b/>
        <w:bCs/>
        <w:color w:val="C00000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AAD73F3"/>
    <w:multiLevelType w:val="hybridMultilevel"/>
    <w:tmpl w:val="0560970C"/>
    <w:lvl w:ilvl="0" w:tplc="0415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  <w:b/>
        <w:bCs/>
        <w:color w:val="C00000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004816774">
    <w:abstractNumId w:val="6"/>
  </w:num>
  <w:num w:numId="2" w16cid:durableId="1360080686">
    <w:abstractNumId w:val="0"/>
  </w:num>
  <w:num w:numId="3" w16cid:durableId="897279215">
    <w:abstractNumId w:val="2"/>
  </w:num>
  <w:num w:numId="4" w16cid:durableId="1980725433">
    <w:abstractNumId w:val="1"/>
  </w:num>
  <w:num w:numId="5" w16cid:durableId="838274519">
    <w:abstractNumId w:val="3"/>
  </w:num>
  <w:num w:numId="6" w16cid:durableId="650793807">
    <w:abstractNumId w:val="4"/>
  </w:num>
  <w:num w:numId="7" w16cid:durableId="1214928969">
    <w:abstractNumId w:val="5"/>
  </w:num>
  <w:num w:numId="8" w16cid:durableId="1096441172">
    <w:abstractNumId w:val="7"/>
  </w:num>
  <w:num w:numId="9" w16cid:durableId="5974504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BCC"/>
    <w:rsid w:val="001F533C"/>
    <w:rsid w:val="00216642"/>
    <w:rsid w:val="002E04AB"/>
    <w:rsid w:val="004B1BCC"/>
    <w:rsid w:val="00724CCE"/>
    <w:rsid w:val="00842CDD"/>
    <w:rsid w:val="008F4655"/>
    <w:rsid w:val="009F131C"/>
    <w:rsid w:val="00AB0AB5"/>
    <w:rsid w:val="00AF086A"/>
    <w:rsid w:val="00CE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E5635"/>
  <w15:chartTrackingRefBased/>
  <w15:docId w15:val="{3BF4C5C6-6F26-4E92-8D55-F9454B1A1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08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086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0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86A"/>
  </w:style>
  <w:style w:type="paragraph" w:styleId="Stopka">
    <w:name w:val="footer"/>
    <w:basedOn w:val="Normalny"/>
    <w:link w:val="StopkaZnak"/>
    <w:uiPriority w:val="99"/>
    <w:unhideWhenUsed/>
    <w:rsid w:val="00AF0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1401</Words>
  <Characters>8410</Characters>
  <Application>Microsoft Office Word</Application>
  <DocSecurity>4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Jacoszek Kamil</dc:creator>
  <cp:keywords/>
  <dc:description/>
  <cp:lastModifiedBy>Ciemińska Paulina</cp:lastModifiedBy>
  <cp:revision>2</cp:revision>
  <dcterms:created xsi:type="dcterms:W3CDTF">2023-11-14T13:11:00Z</dcterms:created>
  <dcterms:modified xsi:type="dcterms:W3CDTF">2023-11-14T13:11:00Z</dcterms:modified>
</cp:coreProperties>
</file>