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19DA" w14:textId="7F6BD03D" w:rsidR="002A3FE6" w:rsidRDefault="002A3FE6" w:rsidP="004F1714">
      <w:pPr>
        <w:spacing w:before="0" w:after="160" w:line="259" w:lineRule="auto"/>
        <w:ind w:left="5672" w:firstLine="709"/>
        <w:jc w:val="left"/>
        <w:rPr>
          <w:rFonts w:eastAsia="Calibri"/>
          <w:b/>
          <w:i/>
          <w:color w:val="000000" w:themeColor="text1"/>
          <w:u w:val="single"/>
        </w:rPr>
      </w:pPr>
      <w:bookmarkStart w:id="0" w:name="_Hlk59516454"/>
      <w:r>
        <w:rPr>
          <w:rFonts w:eastAsia="Calibri"/>
          <w:b/>
          <w:i/>
          <w:color w:val="000000" w:themeColor="text1"/>
          <w:u w:val="single"/>
        </w:rPr>
        <w:t>Załącznik Nr Z.P.02.O.02-15</w:t>
      </w:r>
    </w:p>
    <w:p w14:paraId="7953C5B7" w14:textId="77777777" w:rsidR="002A3FE6" w:rsidRDefault="002A3FE6" w:rsidP="002A3FE6">
      <w:pPr>
        <w:tabs>
          <w:tab w:val="left" w:pos="1092"/>
        </w:tabs>
        <w:jc w:val="right"/>
        <w:rPr>
          <w:rFonts w:eastAsia="Calibri"/>
          <w:b/>
          <w:i/>
          <w:color w:val="000000" w:themeColor="text1"/>
          <w:u w:val="single"/>
        </w:rPr>
      </w:pPr>
    </w:p>
    <w:p w14:paraId="1DD4F1B2" w14:textId="77777777" w:rsidR="002A3FE6" w:rsidRPr="00761B37" w:rsidRDefault="002A3FE6" w:rsidP="002A3FE6">
      <w:pPr>
        <w:tabs>
          <w:tab w:val="left" w:pos="1092"/>
        </w:tabs>
        <w:jc w:val="center"/>
        <w:rPr>
          <w:rFonts w:eastAsia="Calibri"/>
          <w:b/>
          <w:color w:val="000000" w:themeColor="text1"/>
          <w:sz w:val="24"/>
          <w:szCs w:val="24"/>
        </w:rPr>
      </w:pPr>
      <w:r w:rsidRPr="00761B37">
        <w:rPr>
          <w:rFonts w:eastAsia="Calibri"/>
          <w:b/>
          <w:color w:val="000000" w:themeColor="text1"/>
          <w:sz w:val="24"/>
          <w:szCs w:val="24"/>
        </w:rPr>
        <w:t>Zasięg stref zagrożenia wybuchem od rur upustowych</w:t>
      </w:r>
    </w:p>
    <w:p w14:paraId="0D490904" w14:textId="77777777" w:rsidR="002A3FE6" w:rsidRDefault="002A3FE6" w:rsidP="002A3FE6">
      <w:pPr>
        <w:keepNext/>
        <w:jc w:val="center"/>
      </w:pPr>
    </w:p>
    <w:p w14:paraId="45EB9FA4" w14:textId="77777777" w:rsidR="002A3FE6" w:rsidRDefault="002A3FE6" w:rsidP="002A3FE6">
      <w:pPr>
        <w:keepNext/>
        <w:jc w:val="center"/>
      </w:pPr>
      <w:r>
        <w:rPr>
          <w:noProof/>
          <w:lang w:val="en-US"/>
        </w:rPr>
        <w:drawing>
          <wp:inline distT="0" distB="0" distL="0" distR="0" wp14:anchorId="0009E997" wp14:editId="1752F031">
            <wp:extent cx="3268980" cy="304800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78" b="5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83176" w14:textId="31569195" w:rsidR="002A3FE6" w:rsidRDefault="002A3FE6" w:rsidP="002A3FE6">
      <w:pPr>
        <w:pStyle w:val="Legenda"/>
        <w:jc w:val="center"/>
        <w:rPr>
          <w:rFonts w:ascii="Century Gothic" w:hAnsi="Century Gothic"/>
          <w:i w:val="0"/>
          <w:color w:val="000000" w:themeColor="text1"/>
          <w:sz w:val="20"/>
          <w:szCs w:val="20"/>
        </w:rPr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Rysunek 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Rysunek \* ARABIC </w:instrTex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1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. Graficzne przedstawienie stref zagrożenia wybuchem od rury upustowej </w:t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br/>
        <w:t>z zaznaczeniem wymiarów zasięgu strefy</w:t>
      </w:r>
    </w:p>
    <w:p w14:paraId="016E88BD" w14:textId="77777777" w:rsidR="002A3FE6" w:rsidRDefault="002A3FE6" w:rsidP="002A3FE6">
      <w:r>
        <w:t xml:space="preserve">W tabeli poniżej zestawiono wartości wskazanego na powyższym schemacie zasięgu </w:t>
      </w:r>
      <w:r>
        <w:br/>
        <w:t>R w odniesieniu do różnych średnic rur oraz ciśnienia gazu w miejscu emisji (przyjąć ciśnienie gazu, z jakim prowadzony jest upust).</w:t>
      </w:r>
    </w:p>
    <w:p w14:paraId="08805A5C" w14:textId="38ECF4A8" w:rsidR="002A3FE6" w:rsidRDefault="002A3FE6" w:rsidP="002A3FE6">
      <w:pPr>
        <w:pStyle w:val="Legenda"/>
        <w:keepNext/>
        <w:spacing w:before="120" w:after="0"/>
        <w:jc w:val="both"/>
        <w:rPr>
          <w:rFonts w:ascii="Century Gothic" w:hAnsi="Century Gothic"/>
          <w:i w:val="0"/>
          <w:color w:val="000000" w:themeColor="text1"/>
          <w:sz w:val="20"/>
          <w:szCs w:val="20"/>
        </w:rPr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Tabela 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Tabela \* ARABIC </w:instrTex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1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>. Zestawienie zasięgu R stref zagrożenia wybuchem od rur upustowych w zależności od ciśnienia gazu i średnicy źródła emisji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646"/>
        <w:gridCol w:w="646"/>
        <w:gridCol w:w="646"/>
        <w:gridCol w:w="646"/>
        <w:gridCol w:w="646"/>
        <w:gridCol w:w="647"/>
        <w:gridCol w:w="646"/>
        <w:gridCol w:w="646"/>
        <w:gridCol w:w="646"/>
        <w:gridCol w:w="646"/>
        <w:gridCol w:w="646"/>
        <w:gridCol w:w="647"/>
      </w:tblGrid>
      <w:tr w:rsidR="002A3FE6" w14:paraId="767AB5B8" w14:textId="77777777" w:rsidTr="006B1EAC">
        <w:trPr>
          <w:trHeight w:val="300"/>
        </w:trPr>
        <w:tc>
          <w:tcPr>
            <w:tcW w:w="906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F17288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FFFFFF"/>
                <w:sz w:val="24"/>
                <w:szCs w:val="24"/>
              </w:rPr>
              <w:t>Zasięg R [m] w zależności od ciśnienia gazu i średnicy źródła emisji</w:t>
            </w:r>
          </w:p>
        </w:tc>
      </w:tr>
      <w:tr w:rsidR="002A3FE6" w14:paraId="43BA5C21" w14:textId="77777777" w:rsidTr="006B1EAC">
        <w:trPr>
          <w:trHeight w:val="30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5C9A40F0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Ciśnienie gazu</w:t>
            </w:r>
          </w:p>
          <w:p w14:paraId="24BA2303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p [MPa]</w:t>
            </w:r>
          </w:p>
        </w:tc>
        <w:tc>
          <w:tcPr>
            <w:tcW w:w="77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13DDEC2E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Średnica nominalna rury upustowej (źródła emisji) d [mm]</w:t>
            </w:r>
          </w:p>
        </w:tc>
      </w:tr>
      <w:tr w:rsidR="002A3FE6" w14:paraId="23885267" w14:textId="77777777" w:rsidTr="006B1EAC">
        <w:trPr>
          <w:trHeight w:val="3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3966" w14:textId="77777777" w:rsidR="002A3FE6" w:rsidRDefault="002A3FE6" w:rsidP="002A3FE6">
            <w:pPr>
              <w:spacing w:before="0" w:after="0" w:line="256" w:lineRule="auto"/>
              <w:jc w:val="left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C3FEEF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BBF960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FEB8726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49AC9944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D80A515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32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4B4A1F99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5AB0BEB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3DF5205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7FE5BDA1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150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2BA8D38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06C6EC2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250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noWrap/>
            <w:vAlign w:val="center"/>
            <w:hideMark/>
          </w:tcPr>
          <w:p w14:paraId="185F8544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FFFF"/>
                <w:sz w:val="18"/>
                <w:szCs w:val="18"/>
              </w:rPr>
              <w:t>300</w:t>
            </w:r>
          </w:p>
        </w:tc>
      </w:tr>
      <w:tr w:rsidR="002A3FE6" w14:paraId="13A3A41A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3FCE04F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0955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649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552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E62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35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4,19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961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36BB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10,46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7F4E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A0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62EE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26,16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1A33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32,70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F4C6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39,24</w:t>
            </w:r>
          </w:p>
        </w:tc>
      </w:tr>
      <w:tr w:rsidR="002A3FE6" w14:paraId="10DC4C8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7DB3D4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0C9CF3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91F3A5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E0DC86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1CE614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5,66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576A14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31716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7BCE10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18,12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4118C3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22,65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03D80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33,98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26D5E9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45,31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8D32DD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56,63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8932AC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67,96</w:t>
            </w:r>
          </w:p>
        </w:tc>
      </w:tr>
      <w:tr w:rsidR="002A3FE6" w14:paraId="0A2D2DDB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6E7016FA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E696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EACE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BF8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FA54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7,67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4DC7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9,82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B10E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15,34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567C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24,54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B3E1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30,67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A01C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46,01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2F32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61,35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7F4E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76,68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BA09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92,02</w:t>
            </w:r>
          </w:p>
        </w:tc>
      </w:tr>
      <w:tr w:rsidR="002A3FE6" w14:paraId="4E055A25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0244F25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1CDE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49F5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5,55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097B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9A85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EF6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11,84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C9F3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57F9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29,59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C7F9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36,99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6FB5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55,49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47F9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73,99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F6E9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92,48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178D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110,98</w:t>
            </w:r>
          </w:p>
        </w:tc>
      </w:tr>
      <w:tr w:rsidR="002A3FE6" w14:paraId="4CA75EA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3E602452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E205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AF56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4734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8,48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AAD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19C3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21CC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E16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33,90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E183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42,38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39E8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63,57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5120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84,76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96B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105,95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C4C4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127,14</w:t>
            </w:r>
          </w:p>
        </w:tc>
      </w:tr>
      <w:tr w:rsidR="002A3FE6" w14:paraId="4B697E33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4BE6966A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2,5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53C5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4,72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D68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73CC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9,43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45CD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9776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643B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23,58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1B90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37,73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2FAD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47,16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B94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70,74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AF62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94,31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2D42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117,89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5BD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141,47</w:t>
            </w:r>
          </w:p>
        </w:tc>
      </w:tr>
      <w:tr w:rsidR="002A3FE6" w14:paraId="53D6E2F0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291B4E7C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AA5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77E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7,72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74CC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844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12,87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0908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62A0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25,75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CFA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41,19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9A26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51,49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7DD4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77,24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0A57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102,98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79FD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128,73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ADE8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154,48</w:t>
            </w:r>
          </w:p>
        </w:tc>
      </w:tr>
      <w:tr w:rsidR="002A3FE6" w14:paraId="09C16E60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75CCF67D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096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5,55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89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F19A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21C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13,87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126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17,76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8D33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27,74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C368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44,39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5C15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55,49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846E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83,23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5139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110,98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E461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138,72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3312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166,47</w:t>
            </w:r>
          </w:p>
        </w:tc>
      </w:tr>
      <w:tr w:rsidR="002A3FE6" w14:paraId="781085C9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5CB41E1C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3F73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FF5D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8,88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F79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748B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CB86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18,95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ACB8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29,61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F469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47,37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430C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59,22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09E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88,83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957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118,44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73A2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148,04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E36F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177,65</w:t>
            </w:r>
          </w:p>
        </w:tc>
      </w:tr>
      <w:tr w:rsidR="002A3FE6" w14:paraId="3C459D2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2CE97638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9021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2B5C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9,41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6ED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F79F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15,68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675A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20,07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C9D1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2C31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50,18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2ED0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62,72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C45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94,09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80A4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125,45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E58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156,81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352A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188,17</w:t>
            </w:r>
          </w:p>
        </w:tc>
      </w:tr>
      <w:tr w:rsidR="002A3FE6" w14:paraId="77A67267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55AA3FD3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F62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FD73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9,91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F655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0969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16,51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D4D8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21,13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53D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33,02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D7C5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52,84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897F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66,05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A773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99,07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CFB9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132,09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B70B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165,11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01F8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198,14</w:t>
            </w:r>
          </w:p>
        </w:tc>
      </w:tr>
      <w:tr w:rsidR="002A3FE6" w14:paraId="173F3B44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77FDD11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F50B49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6,92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62BB48F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10,38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5BA86E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13,84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FD6F5B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49C0E6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22,15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1E2028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34,60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687BE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55,37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0B1617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69,21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FF451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103,81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AEFCAA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138,41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C3D1A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173,02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F24864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207,62</w:t>
            </w:r>
          </w:p>
        </w:tc>
      </w:tr>
      <w:tr w:rsidR="002A3FE6" w14:paraId="23641F16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6FD15666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C77D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7,22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D9B5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E241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14,45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B50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94BC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23,11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CA5E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36,12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5409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57,78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BF17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72,23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B51F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108,35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3AA7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144,46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EC91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180,58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4F33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216,69</w:t>
            </w:r>
          </w:p>
        </w:tc>
      </w:tr>
      <w:tr w:rsidR="002A3FE6" w14:paraId="6FC9209E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309642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6,3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A554D1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7,40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57A77E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656433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65C6E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31039F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23,68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08DCB7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36,99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AC3A0B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59,19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DF9A2C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73,99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CE6E11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110,98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0563B1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147,97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725FEB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184,96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7A92A5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221,96</w:t>
            </w:r>
          </w:p>
        </w:tc>
      </w:tr>
      <w:tr w:rsidR="002A3FE6" w14:paraId="7D90619B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11F53A46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9401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7,51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B54D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A53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4E26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18,78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F4E1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24,04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3575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37,57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A8B0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60,11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4975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75,13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F930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112,70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DE3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150,27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3BA3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187,83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AD31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225,40</w:t>
            </w:r>
          </w:p>
        </w:tc>
      </w:tr>
      <w:tr w:rsidR="002A3FE6" w14:paraId="2D2C2027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26FD721E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FB7A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7,79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5317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11,69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7C47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15,59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534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19,48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FD36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24,94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D5BD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38,96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85D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62,34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814B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77,93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3DB3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116,89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D6C9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155,85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C1C7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194,82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C2CB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233,78</w:t>
            </w:r>
          </w:p>
        </w:tc>
      </w:tr>
      <w:tr w:rsidR="002A3FE6" w14:paraId="6919576F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10DA5070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C8B1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1BAB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5D16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16,12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E65A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EBBB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25,80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35117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40,31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A66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64,50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054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80,62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E0C9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120,94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46AE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161,25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574E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201,56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286C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241,87</w:t>
            </w:r>
          </w:p>
        </w:tc>
      </w:tr>
      <w:tr w:rsidR="002A3FE6" w14:paraId="438B9405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0C3C20A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E878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146F8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492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16,65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FF5D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20,81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7700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26,63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0BF0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41,62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DB2F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66,59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7300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83,23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54D6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124,85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8829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166,47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E4E6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208,09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1D60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249,70</w:t>
            </w:r>
          </w:p>
        </w:tc>
      </w:tr>
      <w:tr w:rsidR="002A3FE6" w14:paraId="65C27BDE" w14:textId="77777777" w:rsidTr="006B1EAC">
        <w:trPr>
          <w:trHeight w:val="30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5CBA4B5F" w14:textId="77777777" w:rsidR="002A3FE6" w:rsidRDefault="002A3FE6" w:rsidP="002A3FE6">
            <w:pPr>
              <w:spacing w:line="256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8,4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1EA674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8883075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12,79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BB7DE7C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17,05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7DEF6B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21,32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4FAAAE41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27,28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1EBD82A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42,63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FD0BA52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68,21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7588A750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85,26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1687ABD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127,90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6DD9043D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170,53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398498E3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213,16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2EEA18B4" w14:textId="77777777" w:rsidR="002A3FE6" w:rsidRPr="006B1EAC" w:rsidRDefault="002A3FE6" w:rsidP="002A3FE6">
            <w:pPr>
              <w:spacing w:line="256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B1EAC">
              <w:rPr>
                <w:rFonts w:cs="Calibri"/>
                <w:color w:val="000000"/>
                <w:sz w:val="16"/>
                <w:szCs w:val="16"/>
              </w:rPr>
              <w:t>255,79</w:t>
            </w:r>
          </w:p>
        </w:tc>
      </w:tr>
    </w:tbl>
    <w:p w14:paraId="7116E29D" w14:textId="77777777" w:rsidR="002A3FE6" w:rsidRDefault="002A3FE6" w:rsidP="002A3FE6"/>
    <w:p w14:paraId="1600A19D" w14:textId="77777777" w:rsidR="002A3FE6" w:rsidRDefault="002A3FE6" w:rsidP="002A3FE6">
      <w:r>
        <w:t>Wartości zasięgu R stref zagrożenia wybuchem można również odczytywać dla poszczególnych średnic rur z poniższego wykresu.</w:t>
      </w:r>
    </w:p>
    <w:p w14:paraId="3144D230" w14:textId="77777777" w:rsidR="002A3FE6" w:rsidRDefault="002A3FE6" w:rsidP="002A3FE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63D55354" wp14:editId="09EAA89C">
            <wp:extent cx="5623560" cy="3947160"/>
            <wp:effectExtent l="0" t="0" r="15240" b="15240"/>
            <wp:docPr id="24" name="Wykres 24">
              <a:extLst xmlns:a="http://schemas.openxmlformats.org/drawingml/2006/main">
                <a:ext uri="{FF2B5EF4-FFF2-40B4-BE49-F238E27FC236}">
                  <a16:creationId xmlns:a16="http://schemas.microsoft.com/office/drawing/2014/main" id="{D889E42A-AF17-4281-9A95-3D42AF9D7F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8404039" w14:textId="2DA77CB9" w:rsidR="002A3FE6" w:rsidRDefault="002A3FE6" w:rsidP="002A3FE6">
      <w:pPr>
        <w:pStyle w:val="Legenda"/>
        <w:jc w:val="center"/>
        <w:rPr>
          <w:rFonts w:ascii="Century Gothic" w:hAnsi="Century Gothic"/>
          <w:i w:val="0"/>
          <w:color w:val="000000" w:themeColor="text1"/>
          <w:sz w:val="20"/>
          <w:szCs w:val="20"/>
        </w:rPr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Rysunek 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Rysunek \* ARABIC </w:instrTex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2</w:t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>. Zasięg R stref zagrożenia wybuchem od rur upustowych w zależności od ciśnienia gazu i średnicy źródła emisji</w:t>
      </w:r>
    </w:p>
    <w:p w14:paraId="13EC9ACF" w14:textId="77777777" w:rsidR="002A3FE6" w:rsidRDefault="002A3FE6" w:rsidP="002A3FE6">
      <w:r>
        <w:t>W poniższej tabeli zestawiono wartości zasięgu R</w:t>
      </w:r>
      <w:r>
        <w:rPr>
          <w:vertAlign w:val="subscript"/>
        </w:rPr>
        <w:t>3</w:t>
      </w:r>
      <w:r>
        <w:t xml:space="preserve"> (R</w:t>
      </w:r>
      <w:r>
        <w:rPr>
          <w:vertAlign w:val="subscript"/>
        </w:rPr>
        <w:t>3</w:t>
      </w:r>
      <w:r>
        <w:t xml:space="preserve"> nie zależy od ciśnienia) w odniesieniu do różnych wartości średnic rur.</w:t>
      </w:r>
    </w:p>
    <w:p w14:paraId="76FBB157" w14:textId="590CEDEA" w:rsidR="002A3FE6" w:rsidRDefault="002A3FE6" w:rsidP="002A3FE6">
      <w:pPr>
        <w:pStyle w:val="Legenda"/>
        <w:keepNext/>
        <w:spacing w:before="120" w:after="120"/>
        <w:jc w:val="both"/>
      </w:pP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Tabela </w:t>
      </w:r>
      <w:r>
        <w:rPr>
          <w:rFonts w:ascii="Century Gothic" w:hAnsi="Century Gothic"/>
          <w:i w:val="0"/>
          <w:noProof/>
          <w:color w:val="000000" w:themeColor="text1"/>
        </w:rPr>
        <w:fldChar w:fldCharType="begin"/>
      </w:r>
      <w:r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instrText xml:space="preserve"> SEQ Tabela \* ARABIC </w:instrText>
      </w:r>
      <w:r>
        <w:rPr>
          <w:rFonts w:ascii="Century Gothic" w:hAnsi="Century Gothic"/>
          <w:i w:val="0"/>
          <w:noProof/>
          <w:color w:val="000000" w:themeColor="text1"/>
        </w:rPr>
        <w:fldChar w:fldCharType="separate"/>
      </w:r>
      <w:r w:rsidR="00C146A0">
        <w:rPr>
          <w:rFonts w:ascii="Century Gothic" w:hAnsi="Century Gothic"/>
          <w:i w:val="0"/>
          <w:noProof/>
          <w:color w:val="000000" w:themeColor="text1"/>
          <w:sz w:val="20"/>
          <w:szCs w:val="20"/>
        </w:rPr>
        <w:t>2</w:t>
      </w:r>
      <w:r>
        <w:rPr>
          <w:rFonts w:ascii="Century Gothic" w:hAnsi="Century Gothic"/>
          <w:i w:val="0"/>
          <w:noProof/>
          <w:color w:val="000000" w:themeColor="text1"/>
        </w:rPr>
        <w:fldChar w:fldCharType="end"/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>. Zestawienie zasięgu R</w:t>
      </w:r>
      <w:r>
        <w:rPr>
          <w:rFonts w:ascii="Century Gothic" w:hAnsi="Century Gothic"/>
          <w:i w:val="0"/>
          <w:color w:val="000000" w:themeColor="text1"/>
          <w:sz w:val="20"/>
          <w:szCs w:val="20"/>
          <w:vertAlign w:val="subscript"/>
        </w:rPr>
        <w:t>3</w:t>
      </w:r>
      <w:r>
        <w:rPr>
          <w:rFonts w:ascii="Century Gothic" w:hAnsi="Century Gothic"/>
          <w:i w:val="0"/>
          <w:color w:val="000000" w:themeColor="text1"/>
          <w:sz w:val="20"/>
          <w:szCs w:val="20"/>
        </w:rPr>
        <w:t xml:space="preserve"> stref zagrożenia wybuchem od rur upustowych w zależności od średnicy źródła emisji.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2A3FE6" w:rsidRPr="006B1EAC" w14:paraId="55751F28" w14:textId="77777777" w:rsidTr="006B1EA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30CF5503" w14:textId="01EEDE9E" w:rsidR="002A3FE6" w:rsidRPr="006B1EAC" w:rsidRDefault="002A3FE6" w:rsidP="002A3FE6">
            <w:pPr>
              <w:jc w:val="center"/>
              <w:rPr>
                <w:b/>
                <w:sz w:val="18"/>
                <w:szCs w:val="18"/>
              </w:rPr>
            </w:pPr>
            <w:r w:rsidRPr="006B1EAC">
              <w:rPr>
                <w:b/>
                <w:sz w:val="18"/>
                <w:szCs w:val="18"/>
              </w:rPr>
              <w:t>Śred</w:t>
            </w:r>
            <w:r w:rsidR="006B1EAC">
              <w:rPr>
                <w:b/>
                <w:sz w:val="18"/>
                <w:szCs w:val="18"/>
              </w:rPr>
              <w:softHyphen/>
            </w:r>
            <w:r w:rsidRPr="006B1EAC">
              <w:rPr>
                <w:b/>
                <w:sz w:val="18"/>
                <w:szCs w:val="18"/>
              </w:rPr>
              <w:t>nica d [mm]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180D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7AE6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8AA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960A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E84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F1BC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974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9046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AA57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AE70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C89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250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4042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300</w:t>
            </w:r>
          </w:p>
        </w:tc>
      </w:tr>
      <w:tr w:rsidR="002A3FE6" w:rsidRPr="006B1EAC" w14:paraId="617C042A" w14:textId="77777777" w:rsidTr="006B1EA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0939330D" w14:textId="44BD6014" w:rsidR="002A3FE6" w:rsidRPr="006B1EAC" w:rsidRDefault="002A3FE6" w:rsidP="002A3FE6">
            <w:pPr>
              <w:jc w:val="center"/>
              <w:rPr>
                <w:b/>
                <w:sz w:val="18"/>
                <w:szCs w:val="18"/>
              </w:rPr>
            </w:pPr>
            <w:r w:rsidRPr="006B1EAC">
              <w:rPr>
                <w:b/>
                <w:sz w:val="18"/>
                <w:szCs w:val="18"/>
              </w:rPr>
              <w:t>Za</w:t>
            </w:r>
            <w:r w:rsidR="006B1EAC">
              <w:rPr>
                <w:b/>
                <w:sz w:val="18"/>
                <w:szCs w:val="18"/>
              </w:rPr>
              <w:softHyphen/>
            </w:r>
            <w:r w:rsidRPr="006B1EAC">
              <w:rPr>
                <w:b/>
                <w:sz w:val="18"/>
                <w:szCs w:val="18"/>
              </w:rPr>
              <w:t>sięg R</w:t>
            </w:r>
            <w:r w:rsidRPr="006B1EAC">
              <w:rPr>
                <w:b/>
                <w:sz w:val="18"/>
                <w:szCs w:val="18"/>
                <w:vertAlign w:val="subscript"/>
              </w:rPr>
              <w:t>3</w:t>
            </w:r>
            <w:r w:rsidRPr="006B1EAC">
              <w:rPr>
                <w:b/>
                <w:sz w:val="18"/>
                <w:szCs w:val="18"/>
              </w:rPr>
              <w:t xml:space="preserve"> [m]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3450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1,75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E2EA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2,63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FC9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3,50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98B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4,38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1047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5,60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6588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8,75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0845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14,00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0E31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17,50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4073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26,25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3CAB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35,00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B23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43,75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E57" w14:textId="77777777" w:rsidR="002A3FE6" w:rsidRPr="006B1EAC" w:rsidRDefault="002A3FE6" w:rsidP="002A3FE6">
            <w:pPr>
              <w:jc w:val="center"/>
              <w:rPr>
                <w:sz w:val="18"/>
                <w:szCs w:val="18"/>
              </w:rPr>
            </w:pPr>
            <w:r w:rsidRPr="006B1EAC">
              <w:rPr>
                <w:sz w:val="18"/>
                <w:szCs w:val="18"/>
              </w:rPr>
              <w:t>52,50</w:t>
            </w:r>
          </w:p>
        </w:tc>
      </w:tr>
    </w:tbl>
    <w:p w14:paraId="1A3B4ABD" w14:textId="77777777" w:rsidR="007472E6" w:rsidRDefault="007472E6" w:rsidP="002A3FE6">
      <w:pPr>
        <w:spacing w:before="0" w:after="160" w:line="259" w:lineRule="auto"/>
        <w:jc w:val="left"/>
        <w:rPr>
          <w:iCs/>
          <w:color w:val="000000" w:themeColor="text1"/>
        </w:rPr>
      </w:pPr>
    </w:p>
    <w:p w14:paraId="25066D23" w14:textId="77777777" w:rsidR="007472E6" w:rsidRPr="007472E6" w:rsidRDefault="007472E6" w:rsidP="007472E6"/>
    <w:p w14:paraId="41BE3DCC" w14:textId="77777777" w:rsidR="007472E6" w:rsidRPr="007472E6" w:rsidRDefault="007472E6" w:rsidP="007472E6"/>
    <w:p w14:paraId="7D99B578" w14:textId="77777777" w:rsidR="007472E6" w:rsidRPr="007472E6" w:rsidRDefault="007472E6" w:rsidP="007472E6"/>
    <w:p w14:paraId="6DB8A0D0" w14:textId="08A83403" w:rsidR="002A3FE6" w:rsidRDefault="007472E6" w:rsidP="007472E6">
      <w:pPr>
        <w:tabs>
          <w:tab w:val="left" w:pos="6132"/>
        </w:tabs>
        <w:spacing w:before="0" w:after="160" w:line="259" w:lineRule="auto"/>
        <w:jc w:val="left"/>
        <w:rPr>
          <w:iCs/>
          <w:color w:val="000000" w:themeColor="text1"/>
        </w:rPr>
      </w:pPr>
      <w:r>
        <w:rPr>
          <w:iCs/>
          <w:color w:val="000000" w:themeColor="text1"/>
        </w:rPr>
        <w:tab/>
      </w:r>
      <w:bookmarkEnd w:id="0"/>
    </w:p>
    <w:sectPr w:rsidR="002A3FE6" w:rsidSect="00C653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BE1DB" w14:textId="77777777" w:rsidR="00332311" w:rsidRDefault="00332311" w:rsidP="00B51DDC">
      <w:r>
        <w:separator/>
      </w:r>
    </w:p>
    <w:p w14:paraId="57B46879" w14:textId="77777777" w:rsidR="00332311" w:rsidRDefault="00332311" w:rsidP="00B51DDC"/>
  </w:endnote>
  <w:endnote w:type="continuationSeparator" w:id="0">
    <w:p w14:paraId="33EE3CDA" w14:textId="77777777" w:rsidR="00332311" w:rsidRDefault="00332311" w:rsidP="00B51DDC">
      <w:r>
        <w:continuationSeparator/>
      </w:r>
    </w:p>
    <w:p w14:paraId="55A145CB" w14:textId="77777777" w:rsidR="00332311" w:rsidRDefault="00332311" w:rsidP="00B51DDC"/>
  </w:endnote>
  <w:endnote w:type="continuationNotice" w:id="1">
    <w:p w14:paraId="2FC5C658" w14:textId="77777777" w:rsidR="00332311" w:rsidRDefault="00332311">
      <w:pPr>
        <w:spacing w:before="0" w:after="0"/>
      </w:pPr>
    </w:p>
    <w:p w14:paraId="5156DA5C" w14:textId="77777777" w:rsidR="00332311" w:rsidRDefault="0033231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2BCF" w14:textId="77777777" w:rsidR="00C65396" w:rsidRDefault="00C65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C44FDCA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C65396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1BB6" w14:textId="77777777" w:rsidR="00C65396" w:rsidRDefault="00C65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02458" w14:textId="77777777" w:rsidR="00332311" w:rsidRDefault="00332311" w:rsidP="00B51DDC">
      <w:r>
        <w:separator/>
      </w:r>
    </w:p>
    <w:p w14:paraId="0B2EED8F" w14:textId="77777777" w:rsidR="00332311" w:rsidRDefault="00332311" w:rsidP="00B51DDC"/>
    <w:p w14:paraId="225C3329" w14:textId="77777777" w:rsidR="00332311" w:rsidRDefault="00332311" w:rsidP="00B51DDC"/>
    <w:p w14:paraId="462365D0" w14:textId="77777777" w:rsidR="00332311" w:rsidRDefault="00332311"/>
    <w:p w14:paraId="5705C60F" w14:textId="77777777" w:rsidR="00332311" w:rsidRDefault="00332311"/>
  </w:footnote>
  <w:footnote w:type="continuationSeparator" w:id="0">
    <w:p w14:paraId="025041E6" w14:textId="77777777" w:rsidR="00332311" w:rsidRDefault="00332311" w:rsidP="00B51DDC">
      <w:r>
        <w:continuationSeparator/>
      </w:r>
    </w:p>
    <w:p w14:paraId="5BFCBDFD" w14:textId="77777777" w:rsidR="00332311" w:rsidRDefault="00332311" w:rsidP="00B51DDC"/>
    <w:p w14:paraId="0A117DEA" w14:textId="77777777" w:rsidR="00332311" w:rsidRDefault="00332311" w:rsidP="00B51DDC"/>
    <w:p w14:paraId="5C182CCF" w14:textId="77777777" w:rsidR="00332311" w:rsidRDefault="00332311"/>
    <w:p w14:paraId="267BE0E2" w14:textId="77777777" w:rsidR="00332311" w:rsidRDefault="00332311"/>
  </w:footnote>
  <w:footnote w:type="continuationNotice" w:id="1">
    <w:p w14:paraId="35B42D33" w14:textId="77777777" w:rsidR="00332311" w:rsidRDefault="00332311">
      <w:pPr>
        <w:spacing w:before="0" w:after="0"/>
      </w:pPr>
    </w:p>
    <w:p w14:paraId="5C36C2AF" w14:textId="77777777" w:rsidR="00332311" w:rsidRDefault="0033231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F83D" w14:textId="77777777" w:rsidR="00C65396" w:rsidRDefault="00C653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DB2F" w14:textId="77777777" w:rsidR="00C65396" w:rsidRDefault="00C653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2311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472E6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396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IGG!$C$26</c:f>
              <c:strCache>
                <c:ptCount val="1"/>
                <c:pt idx="0">
                  <c:v>d = 10 mm</c:v>
                </c:pt>
              </c:strCache>
            </c:strRef>
          </c:tx>
          <c:spPr>
            <a:ln w="9525" cap="rnd">
              <a:solidFill>
                <a:schemeClr val="accent6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IGG!$C$28:$C$46</c:f>
              <c:numCache>
                <c:formatCode>General</c:formatCode>
                <c:ptCount val="19"/>
                <c:pt idx="0">
                  <c:v>1.31</c:v>
                </c:pt>
                <c:pt idx="1">
                  <c:v>2.27</c:v>
                </c:pt>
                <c:pt idx="2">
                  <c:v>3.07</c:v>
                </c:pt>
                <c:pt idx="3">
                  <c:v>3.7</c:v>
                </c:pt>
                <c:pt idx="4">
                  <c:v>4.24</c:v>
                </c:pt>
                <c:pt idx="5">
                  <c:v>4.72</c:v>
                </c:pt>
                <c:pt idx="6">
                  <c:v>5.15</c:v>
                </c:pt>
                <c:pt idx="7">
                  <c:v>5.55</c:v>
                </c:pt>
                <c:pt idx="8">
                  <c:v>5.92</c:v>
                </c:pt>
                <c:pt idx="9">
                  <c:v>6.27</c:v>
                </c:pt>
                <c:pt idx="10">
                  <c:v>6.6</c:v>
                </c:pt>
                <c:pt idx="11">
                  <c:v>6.92</c:v>
                </c:pt>
                <c:pt idx="12">
                  <c:v>7.22</c:v>
                </c:pt>
                <c:pt idx="13">
                  <c:v>7.4</c:v>
                </c:pt>
                <c:pt idx="14">
                  <c:v>7.51</c:v>
                </c:pt>
                <c:pt idx="15">
                  <c:v>7.79</c:v>
                </c:pt>
                <c:pt idx="16">
                  <c:v>8.06</c:v>
                </c:pt>
                <c:pt idx="17">
                  <c:v>8.32</c:v>
                </c:pt>
                <c:pt idx="18">
                  <c:v>8.5299999999999994</c:v>
                </c:pt>
              </c:numCache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0-D987-44D3-9E76-EF6EC88F1EAF}"/>
            </c:ext>
          </c:extLst>
        </c:ser>
        <c:ser>
          <c:idx val="1"/>
          <c:order val="1"/>
          <c:tx>
            <c:strRef>
              <c:f>IGG!$D$26</c:f>
              <c:strCache>
                <c:ptCount val="1"/>
                <c:pt idx="0">
                  <c:v>d = 15 mm</c:v>
                </c:pt>
              </c:strCache>
            </c:strRef>
          </c:tx>
          <c:spPr>
            <a:ln w="9525" cap="rnd">
              <a:solidFill>
                <a:schemeClr val="accent2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IGG!$D$28:$D$46</c:f>
              <c:numCache>
                <c:formatCode>General</c:formatCode>
                <c:ptCount val="19"/>
                <c:pt idx="0">
                  <c:v>1.96</c:v>
                </c:pt>
                <c:pt idx="1">
                  <c:v>3.4</c:v>
                </c:pt>
                <c:pt idx="2">
                  <c:v>4.5999999999999996</c:v>
                </c:pt>
                <c:pt idx="3">
                  <c:v>5.55</c:v>
                </c:pt>
                <c:pt idx="4">
                  <c:v>6.36</c:v>
                </c:pt>
                <c:pt idx="5">
                  <c:v>7.07</c:v>
                </c:pt>
                <c:pt idx="6">
                  <c:v>7.72</c:v>
                </c:pt>
                <c:pt idx="7">
                  <c:v>8.32</c:v>
                </c:pt>
                <c:pt idx="8">
                  <c:v>8.8800000000000008</c:v>
                </c:pt>
                <c:pt idx="9">
                  <c:v>9.41</c:v>
                </c:pt>
                <c:pt idx="10">
                  <c:v>9.91</c:v>
                </c:pt>
                <c:pt idx="11">
                  <c:v>10.38</c:v>
                </c:pt>
                <c:pt idx="12">
                  <c:v>10.83</c:v>
                </c:pt>
                <c:pt idx="13">
                  <c:v>11.1</c:v>
                </c:pt>
                <c:pt idx="14">
                  <c:v>11.27</c:v>
                </c:pt>
                <c:pt idx="15">
                  <c:v>11.69</c:v>
                </c:pt>
                <c:pt idx="16">
                  <c:v>12.09</c:v>
                </c:pt>
                <c:pt idx="17">
                  <c:v>12.49</c:v>
                </c:pt>
                <c:pt idx="18">
                  <c:v>12.79</c:v>
                </c:pt>
              </c:numCache>
            </c:numRef>
          </c:yVal>
          <c:smooth val="1"/>
          <c:extLst xmlns:c15="http://schemas.microsoft.com/office/drawing/2012/chart">
            <c:ext xmlns:c16="http://schemas.microsoft.com/office/drawing/2014/chart" uri="{C3380CC4-5D6E-409C-BE32-E72D297353CC}">
              <c16:uniqueId val="{00000001-D987-44D3-9E76-EF6EC88F1EAF}"/>
            </c:ext>
          </c:extLst>
        </c:ser>
        <c:ser>
          <c:idx val="2"/>
          <c:order val="2"/>
          <c:tx>
            <c:strRef>
              <c:f>IGG!$E$26</c:f>
              <c:strCache>
                <c:ptCount val="1"/>
                <c:pt idx="0">
                  <c:v>d = 20 mm</c:v>
                </c:pt>
              </c:strCache>
            </c:strRef>
          </c:tx>
          <c:spPr>
            <a:ln w="9525" cap="rnd">
              <a:solidFill>
                <a:srgbClr val="FFC000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IGG!$E$28:$E$46</c:f>
              <c:numCache>
                <c:formatCode>General</c:formatCode>
                <c:ptCount val="19"/>
                <c:pt idx="0">
                  <c:v>2.62</c:v>
                </c:pt>
                <c:pt idx="1">
                  <c:v>4.53</c:v>
                </c:pt>
                <c:pt idx="2">
                  <c:v>6.13</c:v>
                </c:pt>
                <c:pt idx="3">
                  <c:v>7.4</c:v>
                </c:pt>
                <c:pt idx="4">
                  <c:v>8.48</c:v>
                </c:pt>
                <c:pt idx="5">
                  <c:v>9.43</c:v>
                </c:pt>
                <c:pt idx="6">
                  <c:v>10.3</c:v>
                </c:pt>
                <c:pt idx="7">
                  <c:v>11.1</c:v>
                </c:pt>
                <c:pt idx="8">
                  <c:v>11.84</c:v>
                </c:pt>
                <c:pt idx="9">
                  <c:v>12.54</c:v>
                </c:pt>
                <c:pt idx="10">
                  <c:v>13.21</c:v>
                </c:pt>
                <c:pt idx="11">
                  <c:v>13.84</c:v>
                </c:pt>
                <c:pt idx="12">
                  <c:v>14.45</c:v>
                </c:pt>
                <c:pt idx="13">
                  <c:v>14.8</c:v>
                </c:pt>
                <c:pt idx="14">
                  <c:v>15.03</c:v>
                </c:pt>
                <c:pt idx="15">
                  <c:v>15.59</c:v>
                </c:pt>
                <c:pt idx="16">
                  <c:v>16.12</c:v>
                </c:pt>
                <c:pt idx="17">
                  <c:v>16.649999999999999</c:v>
                </c:pt>
                <c:pt idx="18">
                  <c:v>17.05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D987-44D3-9E76-EF6EC88F1EAF}"/>
            </c:ext>
          </c:extLst>
        </c:ser>
        <c:ser>
          <c:idx val="3"/>
          <c:order val="3"/>
          <c:tx>
            <c:strRef>
              <c:f>IGG!$F$26</c:f>
              <c:strCache>
                <c:ptCount val="1"/>
                <c:pt idx="0">
                  <c:v>d = 25 mm</c:v>
                </c:pt>
              </c:strCache>
            </c:strRef>
          </c:tx>
          <c:spPr>
            <a:ln w="952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IGG!$F$28:$F$46</c:f>
              <c:numCache>
                <c:formatCode>General</c:formatCode>
                <c:ptCount val="19"/>
                <c:pt idx="0">
                  <c:v>3.27</c:v>
                </c:pt>
                <c:pt idx="1">
                  <c:v>5.66</c:v>
                </c:pt>
                <c:pt idx="2">
                  <c:v>7.67</c:v>
                </c:pt>
                <c:pt idx="3">
                  <c:v>9.25</c:v>
                </c:pt>
                <c:pt idx="4">
                  <c:v>10.6</c:v>
                </c:pt>
                <c:pt idx="5">
                  <c:v>11.79</c:v>
                </c:pt>
                <c:pt idx="6">
                  <c:v>12.87</c:v>
                </c:pt>
                <c:pt idx="7">
                  <c:v>13.87</c:v>
                </c:pt>
                <c:pt idx="8">
                  <c:v>14.8</c:v>
                </c:pt>
                <c:pt idx="9">
                  <c:v>15.68</c:v>
                </c:pt>
                <c:pt idx="10">
                  <c:v>16.510000000000002</c:v>
                </c:pt>
                <c:pt idx="11">
                  <c:v>17.3</c:v>
                </c:pt>
                <c:pt idx="12">
                  <c:v>18.059999999999999</c:v>
                </c:pt>
                <c:pt idx="13">
                  <c:v>18.5</c:v>
                </c:pt>
                <c:pt idx="14">
                  <c:v>18.78</c:v>
                </c:pt>
                <c:pt idx="15">
                  <c:v>19.48</c:v>
                </c:pt>
                <c:pt idx="16">
                  <c:v>20.16</c:v>
                </c:pt>
                <c:pt idx="17">
                  <c:v>20.81</c:v>
                </c:pt>
                <c:pt idx="18">
                  <c:v>21.32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D987-44D3-9E76-EF6EC88F1EAF}"/>
            </c:ext>
          </c:extLst>
        </c:ser>
        <c:ser>
          <c:idx val="4"/>
          <c:order val="4"/>
          <c:tx>
            <c:strRef>
              <c:f>IGG!$G$26</c:f>
              <c:strCache>
                <c:ptCount val="1"/>
                <c:pt idx="0">
                  <c:v>d = 32 mm</c:v>
                </c:pt>
              </c:strCache>
            </c:strRef>
          </c:tx>
          <c:spPr>
            <a:ln w="9525" cap="rnd">
              <a:solidFill>
                <a:schemeClr val="accent5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IGG!$G$28:$G$46</c:f>
              <c:numCache>
                <c:formatCode>General</c:formatCode>
                <c:ptCount val="19"/>
                <c:pt idx="0">
                  <c:v>4.1900000000000004</c:v>
                </c:pt>
                <c:pt idx="1">
                  <c:v>7.25</c:v>
                </c:pt>
                <c:pt idx="2">
                  <c:v>9.82</c:v>
                </c:pt>
                <c:pt idx="3">
                  <c:v>11.84</c:v>
                </c:pt>
                <c:pt idx="4">
                  <c:v>13.56</c:v>
                </c:pt>
                <c:pt idx="5">
                  <c:v>15.09</c:v>
                </c:pt>
                <c:pt idx="6">
                  <c:v>16.48</c:v>
                </c:pt>
                <c:pt idx="7">
                  <c:v>17.760000000000002</c:v>
                </c:pt>
                <c:pt idx="8">
                  <c:v>18.95</c:v>
                </c:pt>
                <c:pt idx="9">
                  <c:v>20.07</c:v>
                </c:pt>
                <c:pt idx="10">
                  <c:v>21.13</c:v>
                </c:pt>
                <c:pt idx="11">
                  <c:v>22.15</c:v>
                </c:pt>
                <c:pt idx="12">
                  <c:v>23.11</c:v>
                </c:pt>
                <c:pt idx="13">
                  <c:v>23.68</c:v>
                </c:pt>
                <c:pt idx="14">
                  <c:v>24.04</c:v>
                </c:pt>
                <c:pt idx="15">
                  <c:v>24.94</c:v>
                </c:pt>
                <c:pt idx="16">
                  <c:v>25.8</c:v>
                </c:pt>
                <c:pt idx="17">
                  <c:v>26.63</c:v>
                </c:pt>
                <c:pt idx="18">
                  <c:v>27.28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D987-44D3-9E76-EF6EC88F1EAF}"/>
            </c:ext>
          </c:extLst>
        </c:ser>
        <c:ser>
          <c:idx val="5"/>
          <c:order val="5"/>
          <c:tx>
            <c:strRef>
              <c:f>IGG!$H$26</c:f>
              <c:strCache>
                <c:ptCount val="1"/>
                <c:pt idx="0">
                  <c:v>d = 50 mm</c:v>
                </c:pt>
              </c:strCache>
            </c:strRef>
          </c:tx>
          <c:spPr>
            <a:ln w="9525" cap="rnd">
              <a:solidFill>
                <a:schemeClr val="accent6">
                  <a:lumMod val="75000"/>
                  <a:alpha val="99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IGG!$H$28:$H$46</c:f>
              <c:numCache>
                <c:formatCode>General</c:formatCode>
                <c:ptCount val="19"/>
                <c:pt idx="0">
                  <c:v>6.54</c:v>
                </c:pt>
                <c:pt idx="1">
                  <c:v>11.33</c:v>
                </c:pt>
                <c:pt idx="2">
                  <c:v>15.34</c:v>
                </c:pt>
                <c:pt idx="3">
                  <c:v>18.5</c:v>
                </c:pt>
                <c:pt idx="4">
                  <c:v>21.19</c:v>
                </c:pt>
                <c:pt idx="5">
                  <c:v>23.58</c:v>
                </c:pt>
                <c:pt idx="6">
                  <c:v>25.75</c:v>
                </c:pt>
                <c:pt idx="7">
                  <c:v>27.74</c:v>
                </c:pt>
                <c:pt idx="8">
                  <c:v>29.61</c:v>
                </c:pt>
                <c:pt idx="9">
                  <c:v>31.36</c:v>
                </c:pt>
                <c:pt idx="10">
                  <c:v>33.020000000000003</c:v>
                </c:pt>
                <c:pt idx="11">
                  <c:v>34.6</c:v>
                </c:pt>
                <c:pt idx="12">
                  <c:v>36.119999999999997</c:v>
                </c:pt>
                <c:pt idx="13">
                  <c:v>36.99</c:v>
                </c:pt>
                <c:pt idx="14">
                  <c:v>37.57</c:v>
                </c:pt>
                <c:pt idx="15">
                  <c:v>38.96</c:v>
                </c:pt>
                <c:pt idx="16">
                  <c:v>40.31</c:v>
                </c:pt>
                <c:pt idx="17">
                  <c:v>41.62</c:v>
                </c:pt>
                <c:pt idx="18">
                  <c:v>42.63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D987-44D3-9E76-EF6EC88F1EAF}"/>
            </c:ext>
          </c:extLst>
        </c:ser>
        <c:ser>
          <c:idx val="6"/>
          <c:order val="6"/>
          <c:tx>
            <c:strRef>
              <c:f>IGG!$I$26</c:f>
              <c:strCache>
                <c:ptCount val="1"/>
                <c:pt idx="0">
                  <c:v>d = 80 mm</c:v>
                </c:pt>
              </c:strCache>
            </c:strRef>
          </c:tx>
          <c:spPr>
            <a:ln w="9525" cap="rnd">
              <a:solidFill>
                <a:schemeClr val="accent1">
                  <a:lumMod val="60000"/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IGG!$I$28:$I$46</c:f>
              <c:numCache>
                <c:formatCode>General</c:formatCode>
                <c:ptCount val="19"/>
                <c:pt idx="0">
                  <c:v>10.46</c:v>
                </c:pt>
                <c:pt idx="1">
                  <c:v>18.12</c:v>
                </c:pt>
                <c:pt idx="2">
                  <c:v>24.54</c:v>
                </c:pt>
                <c:pt idx="3">
                  <c:v>29.59</c:v>
                </c:pt>
                <c:pt idx="4">
                  <c:v>33.9</c:v>
                </c:pt>
                <c:pt idx="5">
                  <c:v>37.729999999999997</c:v>
                </c:pt>
                <c:pt idx="6">
                  <c:v>41.19</c:v>
                </c:pt>
                <c:pt idx="7">
                  <c:v>44.39</c:v>
                </c:pt>
                <c:pt idx="8">
                  <c:v>47.37</c:v>
                </c:pt>
                <c:pt idx="9">
                  <c:v>50.18</c:v>
                </c:pt>
                <c:pt idx="10">
                  <c:v>52.84</c:v>
                </c:pt>
                <c:pt idx="11">
                  <c:v>55.37</c:v>
                </c:pt>
                <c:pt idx="12">
                  <c:v>57.78</c:v>
                </c:pt>
                <c:pt idx="13">
                  <c:v>59.19</c:v>
                </c:pt>
                <c:pt idx="14">
                  <c:v>60.11</c:v>
                </c:pt>
                <c:pt idx="15">
                  <c:v>62.34</c:v>
                </c:pt>
                <c:pt idx="16">
                  <c:v>64.5</c:v>
                </c:pt>
                <c:pt idx="17">
                  <c:v>66.59</c:v>
                </c:pt>
                <c:pt idx="18">
                  <c:v>68.209999999999994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6-D987-44D3-9E76-EF6EC88F1EAF}"/>
            </c:ext>
          </c:extLst>
        </c:ser>
        <c:ser>
          <c:idx val="7"/>
          <c:order val="7"/>
          <c:tx>
            <c:strRef>
              <c:f>IGG!$J$26</c:f>
              <c:strCache>
                <c:ptCount val="1"/>
                <c:pt idx="0">
                  <c:v>d = 100 mm</c:v>
                </c:pt>
              </c:strCache>
            </c:strRef>
          </c:tx>
          <c:spPr>
            <a:ln w="952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IGG!$J$28:$J$46</c:f>
              <c:numCache>
                <c:formatCode>General</c:formatCode>
                <c:ptCount val="19"/>
                <c:pt idx="0">
                  <c:v>13.08</c:v>
                </c:pt>
                <c:pt idx="1">
                  <c:v>22.65</c:v>
                </c:pt>
                <c:pt idx="2">
                  <c:v>30.67</c:v>
                </c:pt>
                <c:pt idx="3">
                  <c:v>36.99</c:v>
                </c:pt>
                <c:pt idx="4">
                  <c:v>42.38</c:v>
                </c:pt>
                <c:pt idx="5">
                  <c:v>47.16</c:v>
                </c:pt>
                <c:pt idx="6">
                  <c:v>51.49</c:v>
                </c:pt>
                <c:pt idx="7">
                  <c:v>55.49</c:v>
                </c:pt>
                <c:pt idx="8">
                  <c:v>59.22</c:v>
                </c:pt>
                <c:pt idx="9">
                  <c:v>62.72</c:v>
                </c:pt>
                <c:pt idx="10">
                  <c:v>66.05</c:v>
                </c:pt>
                <c:pt idx="11">
                  <c:v>69.209999999999994</c:v>
                </c:pt>
                <c:pt idx="12">
                  <c:v>72.23</c:v>
                </c:pt>
                <c:pt idx="13">
                  <c:v>73.989999999999995</c:v>
                </c:pt>
                <c:pt idx="14">
                  <c:v>75.13</c:v>
                </c:pt>
                <c:pt idx="15">
                  <c:v>77.930000000000007</c:v>
                </c:pt>
                <c:pt idx="16">
                  <c:v>80.62</c:v>
                </c:pt>
                <c:pt idx="17">
                  <c:v>83.23</c:v>
                </c:pt>
                <c:pt idx="18">
                  <c:v>85.26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7-D987-44D3-9E76-EF6EC88F1EAF}"/>
            </c:ext>
          </c:extLst>
        </c:ser>
        <c:ser>
          <c:idx val="8"/>
          <c:order val="8"/>
          <c:tx>
            <c:strRef>
              <c:f>IGG!$K$26</c:f>
              <c:strCache>
                <c:ptCount val="1"/>
                <c:pt idx="0">
                  <c:v>d = 150 mm</c:v>
                </c:pt>
              </c:strCache>
            </c:strRef>
          </c:tx>
          <c:spPr>
            <a:ln w="952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IGG!$K$28:$K$46</c:f>
              <c:numCache>
                <c:formatCode>General</c:formatCode>
                <c:ptCount val="19"/>
                <c:pt idx="0">
                  <c:v>19.62</c:v>
                </c:pt>
                <c:pt idx="1">
                  <c:v>33.979999999999997</c:v>
                </c:pt>
                <c:pt idx="2">
                  <c:v>46.01</c:v>
                </c:pt>
                <c:pt idx="3">
                  <c:v>55.49</c:v>
                </c:pt>
                <c:pt idx="4">
                  <c:v>63.57</c:v>
                </c:pt>
                <c:pt idx="5">
                  <c:v>70.739999999999995</c:v>
                </c:pt>
                <c:pt idx="6">
                  <c:v>77.239999999999995</c:v>
                </c:pt>
                <c:pt idx="7">
                  <c:v>83.23</c:v>
                </c:pt>
                <c:pt idx="8">
                  <c:v>88.83</c:v>
                </c:pt>
                <c:pt idx="9">
                  <c:v>94.09</c:v>
                </c:pt>
                <c:pt idx="10">
                  <c:v>99.07</c:v>
                </c:pt>
                <c:pt idx="11">
                  <c:v>103.81</c:v>
                </c:pt>
                <c:pt idx="12">
                  <c:v>108.35</c:v>
                </c:pt>
                <c:pt idx="13">
                  <c:v>110.98</c:v>
                </c:pt>
                <c:pt idx="14">
                  <c:v>112.7</c:v>
                </c:pt>
                <c:pt idx="15">
                  <c:v>116.89</c:v>
                </c:pt>
                <c:pt idx="16">
                  <c:v>120.94</c:v>
                </c:pt>
                <c:pt idx="17">
                  <c:v>124.85</c:v>
                </c:pt>
                <c:pt idx="18">
                  <c:v>127.9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8-D987-44D3-9E76-EF6EC88F1EAF}"/>
            </c:ext>
          </c:extLst>
        </c:ser>
        <c:ser>
          <c:idx val="9"/>
          <c:order val="9"/>
          <c:tx>
            <c:strRef>
              <c:f>IGG!$L$26</c:f>
              <c:strCache>
                <c:ptCount val="1"/>
                <c:pt idx="0">
                  <c:v>d = 200 mm</c:v>
                </c:pt>
              </c:strCache>
            </c:strRef>
          </c:tx>
          <c:spPr>
            <a:ln w="952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IGG!$L$28:$L$46</c:f>
              <c:numCache>
                <c:formatCode>General</c:formatCode>
                <c:ptCount val="19"/>
                <c:pt idx="0">
                  <c:v>26.16</c:v>
                </c:pt>
                <c:pt idx="1">
                  <c:v>45.31</c:v>
                </c:pt>
                <c:pt idx="2">
                  <c:v>61.35</c:v>
                </c:pt>
                <c:pt idx="3">
                  <c:v>73.989999999999995</c:v>
                </c:pt>
                <c:pt idx="4">
                  <c:v>84.76</c:v>
                </c:pt>
                <c:pt idx="5">
                  <c:v>94.31</c:v>
                </c:pt>
                <c:pt idx="6">
                  <c:v>102.98</c:v>
                </c:pt>
                <c:pt idx="7">
                  <c:v>110.98</c:v>
                </c:pt>
                <c:pt idx="8">
                  <c:v>118.44</c:v>
                </c:pt>
                <c:pt idx="9">
                  <c:v>125.45</c:v>
                </c:pt>
                <c:pt idx="10">
                  <c:v>132.09</c:v>
                </c:pt>
                <c:pt idx="11">
                  <c:v>138.41</c:v>
                </c:pt>
                <c:pt idx="12">
                  <c:v>144.46</c:v>
                </c:pt>
                <c:pt idx="13">
                  <c:v>147.97</c:v>
                </c:pt>
                <c:pt idx="14">
                  <c:v>150.27000000000001</c:v>
                </c:pt>
                <c:pt idx="15">
                  <c:v>155.85</c:v>
                </c:pt>
                <c:pt idx="16">
                  <c:v>161.25</c:v>
                </c:pt>
                <c:pt idx="17">
                  <c:v>166.47</c:v>
                </c:pt>
                <c:pt idx="18">
                  <c:v>170.53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9-D987-44D3-9E76-EF6EC88F1EAF}"/>
            </c:ext>
          </c:extLst>
        </c:ser>
        <c:ser>
          <c:idx val="10"/>
          <c:order val="10"/>
          <c:tx>
            <c:strRef>
              <c:f>IGG!$M$26</c:f>
              <c:strCache>
                <c:ptCount val="1"/>
                <c:pt idx="0">
                  <c:v>d = 250 mm</c:v>
                </c:pt>
              </c:strCache>
            </c:strRef>
          </c:tx>
          <c:spPr>
            <a:ln w="9525" cap="rnd">
              <a:solidFill>
                <a:schemeClr val="tx2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IGG!$M$28:$M$46</c:f>
              <c:numCache>
                <c:formatCode>General</c:formatCode>
                <c:ptCount val="19"/>
                <c:pt idx="0">
                  <c:v>32.700000000000003</c:v>
                </c:pt>
                <c:pt idx="1">
                  <c:v>56.63</c:v>
                </c:pt>
                <c:pt idx="2">
                  <c:v>76.680000000000007</c:v>
                </c:pt>
                <c:pt idx="3">
                  <c:v>92.48</c:v>
                </c:pt>
                <c:pt idx="4">
                  <c:v>105.95</c:v>
                </c:pt>
                <c:pt idx="5">
                  <c:v>117.89</c:v>
                </c:pt>
                <c:pt idx="6">
                  <c:v>128.72999999999999</c:v>
                </c:pt>
                <c:pt idx="7">
                  <c:v>138.72</c:v>
                </c:pt>
                <c:pt idx="8">
                  <c:v>148.04</c:v>
                </c:pt>
                <c:pt idx="9">
                  <c:v>156.81</c:v>
                </c:pt>
                <c:pt idx="10">
                  <c:v>165.11</c:v>
                </c:pt>
                <c:pt idx="11">
                  <c:v>173.02</c:v>
                </c:pt>
                <c:pt idx="12">
                  <c:v>180.58</c:v>
                </c:pt>
                <c:pt idx="13">
                  <c:v>184.96</c:v>
                </c:pt>
                <c:pt idx="14">
                  <c:v>187.83</c:v>
                </c:pt>
                <c:pt idx="15">
                  <c:v>194.82</c:v>
                </c:pt>
                <c:pt idx="16">
                  <c:v>201.56</c:v>
                </c:pt>
                <c:pt idx="17">
                  <c:v>208.09</c:v>
                </c:pt>
                <c:pt idx="18">
                  <c:v>213.16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A-D987-44D3-9E76-EF6EC88F1EAF}"/>
            </c:ext>
          </c:extLst>
        </c:ser>
        <c:ser>
          <c:idx val="11"/>
          <c:order val="11"/>
          <c:tx>
            <c:strRef>
              <c:f>IGG!$N$26</c:f>
              <c:strCache>
                <c:ptCount val="1"/>
                <c:pt idx="0">
                  <c:v>d = 300 mm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IGG!$B$28:$B$46</c:f>
              <c:numCache>
                <c:formatCode>0.0</c:formatCode>
                <c:ptCount val="19"/>
                <c:pt idx="0">
                  <c:v>0.1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6.3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8.4</c:v>
                </c:pt>
              </c:numCache>
            </c:numRef>
          </c:xVal>
          <c:yVal>
            <c:numRef>
              <c:f>IGG!$N$28:$N$46</c:f>
              <c:numCache>
                <c:formatCode>General</c:formatCode>
                <c:ptCount val="19"/>
                <c:pt idx="0">
                  <c:v>39.24</c:v>
                </c:pt>
                <c:pt idx="1">
                  <c:v>67.959999999999994</c:v>
                </c:pt>
                <c:pt idx="2">
                  <c:v>92.02</c:v>
                </c:pt>
                <c:pt idx="3">
                  <c:v>110.98</c:v>
                </c:pt>
                <c:pt idx="4">
                  <c:v>127.14</c:v>
                </c:pt>
                <c:pt idx="5">
                  <c:v>141.47</c:v>
                </c:pt>
                <c:pt idx="6">
                  <c:v>154.47999999999999</c:v>
                </c:pt>
                <c:pt idx="7">
                  <c:v>166.47</c:v>
                </c:pt>
                <c:pt idx="8">
                  <c:v>177.65</c:v>
                </c:pt>
                <c:pt idx="9">
                  <c:v>188.17</c:v>
                </c:pt>
                <c:pt idx="10">
                  <c:v>198.14</c:v>
                </c:pt>
                <c:pt idx="11">
                  <c:v>207.62</c:v>
                </c:pt>
                <c:pt idx="12">
                  <c:v>216.69</c:v>
                </c:pt>
                <c:pt idx="13">
                  <c:v>221.96</c:v>
                </c:pt>
                <c:pt idx="14">
                  <c:v>225.4</c:v>
                </c:pt>
                <c:pt idx="15">
                  <c:v>233.78</c:v>
                </c:pt>
                <c:pt idx="16">
                  <c:v>241.87</c:v>
                </c:pt>
                <c:pt idx="17">
                  <c:v>249.7</c:v>
                </c:pt>
                <c:pt idx="18">
                  <c:v>255.79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B-D987-44D3-9E76-EF6EC88F1E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485568"/>
        <c:axId val="258487136"/>
        <c:extLst/>
      </c:scatterChart>
      <c:valAx>
        <c:axId val="258485568"/>
        <c:scaling>
          <c:orientation val="minMax"/>
          <c:max val="8.4"/>
          <c:min val="0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r>
                  <a:rPr lang="pl-PL">
                    <a:latin typeface="Century Gothic" panose="020B0502020202020204" pitchFamily="34" charset="0"/>
                  </a:rPr>
                  <a:t>Ciśnienie</a:t>
                </a:r>
                <a:r>
                  <a:rPr lang="pl-PL" baseline="0">
                    <a:latin typeface="Century Gothic" panose="020B0502020202020204" pitchFamily="34" charset="0"/>
                  </a:rPr>
                  <a:t> gazu [MPa]</a:t>
                </a:r>
                <a:endParaRPr lang="pl-PL">
                  <a:latin typeface="Century Gothic" panose="020B0502020202020204" pitchFamily="34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Century Gothic" panose="020B0502020202020204" pitchFamily="34" charset="0"/>
                  <a:ea typeface="+mn-ea"/>
                  <a:cs typeface="+mn-cs"/>
                </a:defRPr>
              </a:pPr>
              <a:endParaRPr lang="pl-PL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pl-PL"/>
          </a:p>
        </c:txPr>
        <c:crossAx val="258487136"/>
        <c:crosses val="autoZero"/>
        <c:crossBetween val="midCat"/>
      </c:valAx>
      <c:valAx>
        <c:axId val="25848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>
                    <a:latin typeface="Century Gothic" panose="020B0502020202020204" pitchFamily="34" charset="0"/>
                  </a:rPr>
                  <a:t>Zasięg  strefy [m]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pl-PL"/>
          </a:p>
        </c:txPr>
        <c:crossAx val="258485568"/>
        <c:crosses val="autoZero"/>
        <c:crossBetween val="midCat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Century Gothic" panose="020B0502020202020204" pitchFamily="34" charset="0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Renata Markowska</cp:lastModifiedBy>
  <cp:revision>4</cp:revision>
  <cp:lastPrinted>2020-10-28T11:25:00Z</cp:lastPrinted>
  <dcterms:created xsi:type="dcterms:W3CDTF">2022-03-28T11:41:00Z</dcterms:created>
  <dcterms:modified xsi:type="dcterms:W3CDTF">2022-03-28T13:18:00Z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