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1CBB7" w14:textId="207C0841" w:rsidR="0010569E" w:rsidRPr="002E6241" w:rsidRDefault="00601D1F" w:rsidP="00601D1F">
      <w:pPr>
        <w:jc w:val="right"/>
        <w:rPr>
          <w:rFonts w:ascii="Century Gothic" w:hAnsi="Century Gothic"/>
        </w:rPr>
      </w:pPr>
      <w:r w:rsidRPr="00601D1F">
        <w:rPr>
          <w:rFonts w:ascii="Century Gothic" w:hAnsi="Century Gothic"/>
        </w:rPr>
        <w:t>Załącznik nr 2 do OPZ</w:t>
      </w:r>
    </w:p>
    <w:p w14:paraId="51557A5B" w14:textId="77777777" w:rsidR="0077118B" w:rsidRPr="002E6241" w:rsidRDefault="0077118B" w:rsidP="0077118B">
      <w:pPr>
        <w:rPr>
          <w:rFonts w:ascii="Century Gothic" w:hAnsi="Century Gothic"/>
        </w:rPr>
      </w:pPr>
    </w:p>
    <w:p w14:paraId="6E46CDCA" w14:textId="77777777" w:rsidR="00823428" w:rsidRDefault="00823428" w:rsidP="002E6241">
      <w:pPr>
        <w:jc w:val="center"/>
        <w:rPr>
          <w:rFonts w:ascii="Century Gothic" w:hAnsi="Century Gothic"/>
          <w:b/>
          <w:bCs/>
        </w:rPr>
      </w:pPr>
    </w:p>
    <w:p w14:paraId="6AC7526A" w14:textId="3717F6B2" w:rsidR="00601D1F" w:rsidRPr="00823428" w:rsidRDefault="002E6241" w:rsidP="002E6241">
      <w:pPr>
        <w:jc w:val="center"/>
        <w:rPr>
          <w:rFonts w:ascii="Century Gothic" w:hAnsi="Century Gothic"/>
          <w:b/>
          <w:bCs/>
        </w:rPr>
      </w:pPr>
      <w:r w:rsidRPr="00823428">
        <w:rPr>
          <w:rFonts w:ascii="Century Gothic" w:hAnsi="Century Gothic"/>
          <w:b/>
          <w:bCs/>
        </w:rPr>
        <w:t>Wykaz Procedur SESP</w:t>
      </w:r>
      <w:r w:rsidR="00823428">
        <w:rPr>
          <w:rFonts w:ascii="Century Gothic" w:hAnsi="Century Gothic"/>
          <w:b/>
          <w:bCs/>
        </w:rPr>
        <w:t>*</w:t>
      </w:r>
    </w:p>
    <w:p w14:paraId="6A5E124F" w14:textId="35F15C68" w:rsidR="00601D1F" w:rsidRDefault="00601D1F" w:rsidP="00601D1F">
      <w:pPr>
        <w:jc w:val="right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694"/>
        <w:gridCol w:w="6373"/>
      </w:tblGrid>
      <w:tr w:rsidR="00601D1F" w14:paraId="307BB833" w14:textId="77777777" w:rsidTr="008234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4390" w14:textId="77777777" w:rsidR="00601D1F" w:rsidRDefault="00601D1F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center"/>
              <w:rPr>
                <w:rFonts w:ascii="Century Gothic" w:eastAsia="Times New Roman" w:hAnsi="Century Gothic" w:cs="Century Gothic"/>
                <w:b/>
                <w:lang w:eastAsia="pl-PL"/>
              </w:rPr>
            </w:pPr>
            <w:r>
              <w:rPr>
                <w:rFonts w:ascii="Century Gothic" w:eastAsia="Times New Roman" w:hAnsi="Century Gothic" w:cs="Century Gothic"/>
                <w:b/>
                <w:lang w:eastAsia="pl-PL"/>
              </w:rPr>
              <w:t>Numer dokumentu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0B424" w14:textId="77777777" w:rsidR="00601D1F" w:rsidRDefault="00601D1F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center"/>
              <w:rPr>
                <w:rFonts w:ascii="Century Gothic" w:eastAsia="Times New Roman" w:hAnsi="Century Gothic" w:cs="Century Gothic"/>
                <w:b/>
                <w:lang w:eastAsia="pl-PL"/>
              </w:rPr>
            </w:pPr>
            <w:r>
              <w:rPr>
                <w:rFonts w:ascii="Century Gothic" w:eastAsia="Times New Roman" w:hAnsi="Century Gothic" w:cs="Century Gothic"/>
                <w:b/>
                <w:lang w:eastAsia="pl-PL"/>
              </w:rPr>
              <w:t>Tytuł dokumentu</w:t>
            </w:r>
          </w:p>
        </w:tc>
      </w:tr>
      <w:tr w:rsidR="00601D1F" w14:paraId="5438FBC6" w14:textId="77777777" w:rsidTr="008234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63E51" w14:textId="77777777" w:rsidR="00601D1F" w:rsidRDefault="00601D1F" w:rsidP="00823428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center"/>
              <w:rPr>
                <w:rFonts w:ascii="Century Gothic" w:eastAsia="Times New Roman" w:hAnsi="Century Gothic" w:cs="Century Gothic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lang w:eastAsia="pl-PL"/>
              </w:rPr>
              <w:t>P.02.O.02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16F56" w14:textId="77777777" w:rsidR="00601D1F" w:rsidRDefault="00601D1F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both"/>
              <w:rPr>
                <w:rFonts w:ascii="Century Gothic" w:eastAsia="Times New Roman" w:hAnsi="Century Gothic" w:cs="Century Gothic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lang w:eastAsia="pl-PL"/>
              </w:rPr>
              <w:t>„</w:t>
            </w:r>
            <w:r>
              <w:rPr>
                <w:rFonts w:ascii="Century Gothic" w:hAnsi="Century Gothic"/>
              </w:rPr>
              <w:t>Procedura organizacji prac przy urządzeniach energetycznych</w:t>
            </w:r>
            <w:r>
              <w:rPr>
                <w:rFonts w:ascii="Century Gothic" w:eastAsia="Times New Roman" w:hAnsi="Century Gothic" w:cs="Times New Roman"/>
                <w:lang w:eastAsia="pl-PL"/>
              </w:rPr>
              <w:t>”</w:t>
            </w:r>
          </w:p>
        </w:tc>
      </w:tr>
      <w:tr w:rsidR="00601D1F" w14:paraId="4F610D0F" w14:textId="77777777" w:rsidTr="008234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FCA5A" w14:textId="77777777" w:rsidR="00601D1F" w:rsidRDefault="00601D1F" w:rsidP="00823428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center"/>
              <w:rPr>
                <w:rFonts w:ascii="Century Gothic" w:eastAsia="Times New Roman" w:hAnsi="Century Gothic" w:cs="Century Gothic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lang w:eastAsia="pl-PL"/>
              </w:rPr>
              <w:t>P.02.O.13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295FE" w14:textId="77777777" w:rsidR="00601D1F" w:rsidRDefault="00601D1F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both"/>
              <w:rPr>
                <w:rFonts w:ascii="Century Gothic" w:eastAsia="Times New Roman" w:hAnsi="Century Gothic" w:cs="Century Gothic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lang w:eastAsia="pl-PL"/>
              </w:rPr>
              <w:t>„Prowadzenie przez wykonawców zewnętrznych prac eksploatacyjnych na obiektach sieci przesyłowe”</w:t>
            </w:r>
          </w:p>
        </w:tc>
      </w:tr>
      <w:tr w:rsidR="00601D1F" w14:paraId="0E684071" w14:textId="77777777" w:rsidTr="008234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E5D8" w14:textId="0E0C94FB" w:rsidR="00601D1F" w:rsidRDefault="00601D1F" w:rsidP="00823428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center"/>
              <w:rPr>
                <w:rFonts w:ascii="Century Gothic" w:eastAsia="Times New Roman" w:hAnsi="Century Gothic" w:cs="Century Gothic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lang w:eastAsia="pl-PL"/>
              </w:rPr>
              <w:t>P.02.O.</w:t>
            </w:r>
            <w:r w:rsidR="00823428">
              <w:rPr>
                <w:rFonts w:ascii="Century Gothic" w:eastAsia="Times New Roman" w:hAnsi="Century Gothic" w:cs="Times New Roman"/>
                <w:lang w:eastAsia="pl-PL"/>
              </w:rPr>
              <w:t>2</w:t>
            </w:r>
            <w:r>
              <w:rPr>
                <w:rFonts w:ascii="Century Gothic" w:eastAsia="Times New Roman" w:hAnsi="Century Gothic" w:cs="Times New Roman"/>
                <w:lang w:eastAsia="pl-PL"/>
              </w:rPr>
              <w:t>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70CD" w14:textId="50807569" w:rsidR="00601D1F" w:rsidRDefault="00601D1F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both"/>
              <w:rPr>
                <w:rFonts w:ascii="Century Gothic" w:eastAsia="Times New Roman" w:hAnsi="Century Gothic" w:cs="Century Gothic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lang w:eastAsia="pl-PL"/>
              </w:rPr>
              <w:t>„</w:t>
            </w:r>
            <w:r w:rsidR="00823428" w:rsidRPr="00823428">
              <w:rPr>
                <w:rFonts w:ascii="Century Gothic" w:eastAsia="Times New Roman" w:hAnsi="Century Gothic" w:cs="Times New Roman"/>
                <w:bCs/>
                <w:lang w:eastAsia="pl-PL"/>
              </w:rPr>
              <w:t>Eksploatacja instalacji i urządzeń elektrycznych, w tym w strefach zagrożenia wybuchem</w:t>
            </w:r>
            <w:r>
              <w:rPr>
                <w:rFonts w:ascii="Century Gothic" w:eastAsia="Times New Roman" w:hAnsi="Century Gothic" w:cs="Times New Roman"/>
                <w:lang w:eastAsia="pl-PL"/>
              </w:rPr>
              <w:t>”</w:t>
            </w:r>
          </w:p>
        </w:tc>
      </w:tr>
      <w:tr w:rsidR="00601D1F" w14:paraId="27813218" w14:textId="77777777" w:rsidTr="0082342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EBF8" w14:textId="77777777" w:rsidR="00601D1F" w:rsidRDefault="00601D1F" w:rsidP="00823428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center"/>
              <w:rPr>
                <w:rFonts w:ascii="Century Gothic" w:eastAsia="Times New Roman" w:hAnsi="Century Gothic" w:cs="Century Gothic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lang w:eastAsia="pl-PL"/>
              </w:rPr>
              <w:t>P.02.O.33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566B" w14:textId="77777777" w:rsidR="00601D1F" w:rsidRDefault="00601D1F">
            <w:pPr>
              <w:widowControl w:val="0"/>
              <w:tabs>
                <w:tab w:val="left" w:pos="173"/>
              </w:tabs>
              <w:autoSpaceDE w:val="0"/>
              <w:autoSpaceDN w:val="0"/>
              <w:adjustRightInd w:val="0"/>
              <w:spacing w:before="120" w:after="120"/>
              <w:ind w:right="-40"/>
              <w:jc w:val="both"/>
              <w:rPr>
                <w:rFonts w:ascii="Century Gothic" w:eastAsia="Times New Roman" w:hAnsi="Century Gothic" w:cs="Century Gothic"/>
                <w:lang w:eastAsia="pl-PL"/>
              </w:rPr>
            </w:pPr>
            <w:r>
              <w:rPr>
                <w:rFonts w:ascii="Century Gothic" w:eastAsia="Times New Roman" w:hAnsi="Century Gothic" w:cs="Times New Roman"/>
                <w:lang w:eastAsia="pl-PL"/>
              </w:rPr>
              <w:t>„Usuwanie i ewidencjonowanie usterek stwierdzonych w sieci przesyłowej”</w:t>
            </w:r>
          </w:p>
        </w:tc>
      </w:tr>
    </w:tbl>
    <w:p w14:paraId="0772D75A" w14:textId="69094E22" w:rsidR="00601D1F" w:rsidRPr="00A91F1A" w:rsidRDefault="00601D1F" w:rsidP="00601D1F">
      <w:pPr>
        <w:jc w:val="center"/>
        <w:rPr>
          <w:rFonts w:ascii="Century Gothic" w:hAnsi="Century Gothic"/>
        </w:rPr>
      </w:pPr>
    </w:p>
    <w:p w14:paraId="25074C17" w14:textId="09BCE339" w:rsidR="002E6241" w:rsidRPr="00823428" w:rsidRDefault="00823428" w:rsidP="00823428">
      <w:pPr>
        <w:rPr>
          <w:rFonts w:ascii="Century Gothic" w:hAnsi="Century Gothic"/>
        </w:rPr>
      </w:pPr>
      <w:r w:rsidRPr="00823428">
        <w:rPr>
          <w:rFonts w:ascii="Century Gothic" w:hAnsi="Century Gothic"/>
        </w:rPr>
        <w:t>*</w:t>
      </w:r>
      <w:r>
        <w:rPr>
          <w:rFonts w:ascii="Century Gothic" w:hAnsi="Century Gothic"/>
        </w:rPr>
        <w:t xml:space="preserve"> Wykaz obowiązuje na dzień ogłoszenia postępowania przetargowego. </w:t>
      </w:r>
      <w:r>
        <w:rPr>
          <w:rFonts w:ascii="Century Gothic" w:hAnsi="Century Gothic"/>
        </w:rPr>
        <w:tab/>
      </w:r>
    </w:p>
    <w:sectPr w:rsidR="002E6241" w:rsidRPr="008234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2BB3E" w14:textId="77777777" w:rsidR="002F6B4B" w:rsidRDefault="002F6B4B" w:rsidP="00601D1F">
      <w:pPr>
        <w:spacing w:after="0" w:line="240" w:lineRule="auto"/>
      </w:pPr>
      <w:r>
        <w:separator/>
      </w:r>
    </w:p>
  </w:endnote>
  <w:endnote w:type="continuationSeparator" w:id="0">
    <w:p w14:paraId="13C02F12" w14:textId="77777777" w:rsidR="002F6B4B" w:rsidRDefault="002F6B4B" w:rsidP="00601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EADB" w14:textId="77777777" w:rsidR="002F6B4B" w:rsidRDefault="002F6B4B" w:rsidP="00601D1F">
      <w:pPr>
        <w:spacing w:after="0" w:line="240" w:lineRule="auto"/>
      </w:pPr>
      <w:r>
        <w:separator/>
      </w:r>
    </w:p>
  </w:footnote>
  <w:footnote w:type="continuationSeparator" w:id="0">
    <w:p w14:paraId="264182D8" w14:textId="77777777" w:rsidR="002F6B4B" w:rsidRDefault="002F6B4B" w:rsidP="00601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EF82D" w14:textId="05DE5A44" w:rsidR="002E6241" w:rsidRPr="00FE79FC" w:rsidRDefault="002E6241" w:rsidP="002E6241">
    <w:pPr>
      <w:spacing w:after="0" w:line="360" w:lineRule="auto"/>
      <w:jc w:val="center"/>
      <w:rPr>
        <w:rFonts w:ascii="Century Gothic" w:eastAsia="Times New Roman" w:hAnsi="Century Gothic" w:cs="Arial"/>
        <w:b/>
        <w:sz w:val="16"/>
        <w:szCs w:val="16"/>
      </w:rPr>
    </w:pPr>
    <w:bookmarkStart w:id="0" w:name="_Hlk478122120"/>
    <w:r>
      <w:rPr>
        <w:rFonts w:ascii="Century Gothic" w:eastAsia="Times New Roman" w:hAnsi="Century Gothic" w:cs="Times New Roman"/>
        <w:b/>
        <w:sz w:val="16"/>
        <w:szCs w:val="16"/>
      </w:rPr>
      <w:t xml:space="preserve">Przeglądy i naprawy </w:t>
    </w:r>
    <w:r w:rsidR="00366297">
      <w:rPr>
        <w:rFonts w:ascii="Century Gothic" w:eastAsia="Times New Roman" w:hAnsi="Century Gothic" w:cs="Times New Roman"/>
        <w:b/>
        <w:sz w:val="16"/>
        <w:szCs w:val="16"/>
      </w:rPr>
      <w:t>zabezpieczeń SEPAM – TG Hołowczyce</w:t>
    </w:r>
    <w:r>
      <w:rPr>
        <w:rFonts w:ascii="Century Gothic" w:eastAsia="Times New Roman" w:hAnsi="Century Gothic" w:cs="Times New Roman"/>
        <w:b/>
        <w:sz w:val="16"/>
        <w:szCs w:val="16"/>
      </w:rPr>
      <w:t xml:space="preserve"> </w:t>
    </w:r>
  </w:p>
  <w:p w14:paraId="57C3AF70" w14:textId="77777777" w:rsidR="002E6241" w:rsidRPr="00FE79FC" w:rsidRDefault="002E6241" w:rsidP="002E6241">
    <w:pPr>
      <w:spacing w:after="0" w:line="360" w:lineRule="auto"/>
      <w:jc w:val="center"/>
      <w:rPr>
        <w:rFonts w:ascii="Century Gothic" w:eastAsia="Times New Roman" w:hAnsi="Century Gothic" w:cs="Arial"/>
        <w:b/>
        <w:sz w:val="16"/>
        <w:szCs w:val="16"/>
      </w:rPr>
    </w:pPr>
    <w:r w:rsidRPr="00FE79FC">
      <w:rPr>
        <w:rFonts w:ascii="Century Gothic" w:eastAsia="Times New Roman" w:hAnsi="Century Gothic" w:cs="Arial"/>
        <w:b/>
        <w:sz w:val="16"/>
        <w:szCs w:val="16"/>
      </w:rPr>
      <w:t xml:space="preserve">Numer postępowania: </w:t>
    </w:r>
    <w:bookmarkEnd w:id="0"/>
    <w:r w:rsidRPr="00FE79FC">
      <w:rPr>
        <w:rFonts w:ascii="Century Gothic" w:eastAsia="Times New Roman" w:hAnsi="Century Gothic" w:cs="Arial"/>
        <w:b/>
        <w:sz w:val="16"/>
        <w:szCs w:val="16"/>
      </w:rPr>
      <w:t>NP/</w:t>
    </w:r>
    <w:r>
      <w:rPr>
        <w:rFonts w:ascii="Century Gothic" w:eastAsia="Times New Roman" w:hAnsi="Century Gothic" w:cs="Arial"/>
        <w:b/>
        <w:sz w:val="16"/>
        <w:szCs w:val="16"/>
      </w:rPr>
      <w:t>…….</w:t>
    </w:r>
    <w:r w:rsidRPr="00FE79FC">
      <w:rPr>
        <w:rFonts w:ascii="Century Gothic" w:eastAsia="Times New Roman" w:hAnsi="Century Gothic" w:cs="Arial"/>
        <w:b/>
        <w:sz w:val="16"/>
        <w:szCs w:val="16"/>
      </w:rPr>
      <w:t>/</w:t>
    </w:r>
    <w:r>
      <w:rPr>
        <w:rFonts w:ascii="Century Gothic" w:eastAsia="Times New Roman" w:hAnsi="Century Gothic" w:cs="Arial"/>
        <w:b/>
        <w:sz w:val="16"/>
        <w:szCs w:val="16"/>
      </w:rPr>
      <w:t>…….</w:t>
    </w:r>
    <w:r w:rsidRPr="00FE79FC">
      <w:rPr>
        <w:rFonts w:ascii="Century Gothic" w:eastAsia="Times New Roman" w:hAnsi="Century Gothic" w:cs="Arial"/>
        <w:b/>
        <w:sz w:val="16"/>
        <w:szCs w:val="16"/>
      </w:rPr>
      <w:t>/</w:t>
    </w:r>
    <w:r>
      <w:rPr>
        <w:rFonts w:ascii="Century Gothic" w:eastAsia="Times New Roman" w:hAnsi="Century Gothic" w:cs="Arial"/>
        <w:b/>
        <w:sz w:val="16"/>
        <w:szCs w:val="16"/>
      </w:rPr>
      <w:t>…….</w:t>
    </w:r>
    <w:r w:rsidRPr="00FE79FC">
      <w:rPr>
        <w:rFonts w:ascii="Century Gothic" w:eastAsia="Times New Roman" w:hAnsi="Century Gothic" w:cs="Arial"/>
        <w:b/>
        <w:sz w:val="16"/>
        <w:szCs w:val="16"/>
      </w:rPr>
      <w:t>/REM</w:t>
    </w:r>
  </w:p>
  <w:p w14:paraId="0206F2C9" w14:textId="77777777" w:rsidR="0077118B" w:rsidRDefault="007711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B109C"/>
    <w:multiLevelType w:val="hybridMultilevel"/>
    <w:tmpl w:val="FB0A73F6"/>
    <w:lvl w:ilvl="0" w:tplc="320C66E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F0620"/>
    <w:multiLevelType w:val="hybridMultilevel"/>
    <w:tmpl w:val="3842B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289699">
    <w:abstractNumId w:val="1"/>
  </w:num>
  <w:num w:numId="2" w16cid:durableId="1278416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F50"/>
    <w:rsid w:val="0010569E"/>
    <w:rsid w:val="00236652"/>
    <w:rsid w:val="002E6241"/>
    <w:rsid w:val="002F6B4B"/>
    <w:rsid w:val="00366297"/>
    <w:rsid w:val="00601D1F"/>
    <w:rsid w:val="0077118B"/>
    <w:rsid w:val="00823428"/>
    <w:rsid w:val="00A571D8"/>
    <w:rsid w:val="00A91F1A"/>
    <w:rsid w:val="00D06F50"/>
    <w:rsid w:val="00E7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B127A"/>
  <w15:chartTrackingRefBased/>
  <w15:docId w15:val="{BC8C2846-1DAF-4E2F-80CC-D555D45D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01D1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71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18B"/>
  </w:style>
  <w:style w:type="paragraph" w:styleId="Stopka">
    <w:name w:val="footer"/>
    <w:basedOn w:val="Normalny"/>
    <w:link w:val="StopkaZnak"/>
    <w:uiPriority w:val="99"/>
    <w:unhideWhenUsed/>
    <w:rsid w:val="00771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18B"/>
  </w:style>
  <w:style w:type="paragraph" w:styleId="Akapitzlist">
    <w:name w:val="List Paragraph"/>
    <w:basedOn w:val="Normalny"/>
    <w:uiPriority w:val="34"/>
    <w:qFormat/>
    <w:rsid w:val="00823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3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Zienkiewicz Dariusz</dc:creator>
  <cp:keywords/>
  <dc:description/>
  <cp:lastModifiedBy>Zienkiewicz Dariusz</cp:lastModifiedBy>
  <cp:revision>6</cp:revision>
  <dcterms:created xsi:type="dcterms:W3CDTF">2022-07-22T12:00:00Z</dcterms:created>
  <dcterms:modified xsi:type="dcterms:W3CDTF">2023-02-16T09:25:00Z</dcterms:modified>
</cp:coreProperties>
</file>