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406060415" w:displacedByCustomXml="next"/>
    <w:sdt>
      <w:sdtPr>
        <w:id w:val="1655176274"/>
        <w:docPartObj>
          <w:docPartGallery w:val="Cover Pages"/>
          <w:docPartUnique/>
        </w:docPartObj>
      </w:sdtPr>
      <w:sdtEndPr>
        <w:rPr>
          <w:rFonts w:ascii="Century Gothic" w:eastAsia="Times New Roman" w:hAnsi="Century Gothic" w:cs="Times New Roman"/>
          <w:bCs/>
          <w:color w:val="000000"/>
          <w:lang w:eastAsia="pl-PL"/>
        </w:rPr>
      </w:sdtEndPr>
      <w:sdtContent>
        <w:p w14:paraId="0C3479C8" w14:textId="77777777" w:rsidR="00BC312A" w:rsidRDefault="00BC312A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FFFFFF" w:themeColor="background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780"/>
          </w:tblGrid>
          <w:tr w:rsidR="00BC312A" w14:paraId="6C17BF30" w14:textId="77777777" w:rsidTr="00BC312A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5430B836" w14:textId="77777777" w:rsidR="00BC312A" w:rsidRDefault="00BC312A">
                <w:pPr>
                  <w:pStyle w:val="Bezodstpw"/>
                  <w:rPr>
                    <w:color w:val="365F91" w:themeColor="accent1" w:themeShade="BF"/>
                    <w:sz w:val="24"/>
                  </w:rPr>
                </w:pPr>
              </w:p>
            </w:tc>
          </w:tr>
          <w:tr w:rsidR="00BC312A" w14:paraId="57D96FCA" w14:textId="77777777" w:rsidTr="00BC312A">
            <w:tc>
              <w:tcPr>
                <w:tcW w:w="7672" w:type="dxa"/>
              </w:tcPr>
              <w:sdt>
                <w:sdtPr>
                  <w:rPr>
                    <w:rFonts w:ascii="Century Gothic" w:eastAsia="Times New Roman" w:hAnsi="Century Gothic"/>
                    <w:b/>
                    <w:bCs/>
                    <w:color w:val="000000"/>
                    <w:sz w:val="32"/>
                    <w:szCs w:val="32"/>
                    <w:u w:val="single"/>
                  </w:rPr>
                  <w:alias w:val="Tytuł"/>
                  <w:id w:val="13406919"/>
                  <w:placeholder>
                    <w:docPart w:val="38928391847749E3B2EB8610CE880397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660E90E4" w14:textId="595CEDD5" w:rsidR="00BC312A" w:rsidRPr="00BC312A" w:rsidRDefault="005A6F75" w:rsidP="00BC312A">
                    <w:pPr>
                      <w:pStyle w:val="Bezodstpw"/>
                      <w:spacing w:line="216" w:lineRule="auto"/>
                      <w:jc w:val="center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32"/>
                        <w:szCs w:val="32"/>
                        <w:u w:val="single"/>
                      </w:rPr>
                    </w:pPr>
                    <w:r>
                      <w:rPr>
                        <w:rFonts w:ascii="Century Gothic" w:eastAsia="Times New Roman" w:hAnsi="Century Gothic"/>
                        <w:b/>
                        <w:bCs/>
                        <w:color w:val="000000"/>
                        <w:sz w:val="32"/>
                        <w:szCs w:val="32"/>
                        <w:u w:val="single"/>
                      </w:rPr>
                      <w:t>Opis Przedmiotu Zamówienia</w:t>
                    </w:r>
                  </w:p>
                </w:sdtContent>
              </w:sdt>
            </w:tc>
          </w:tr>
          <w:tr w:rsidR="00BC312A" w14:paraId="3521028E" w14:textId="77777777" w:rsidTr="00BC312A">
            <w:bookmarkStart w:id="1" w:name="_Hlk15900190" w:displacedByCustomXml="next"/>
            <w:sdt>
              <w:sdtPr>
                <w:rPr>
                  <w:rFonts w:ascii="Century Gothic" w:hAnsi="Century Gothic"/>
                  <w:b/>
                  <w:bCs/>
                  <w:color w:val="000000"/>
                </w:rPr>
                <w:alias w:val="Podtytuł"/>
                <w:id w:val="13406923"/>
                <w:placeholder>
                  <w:docPart w:val="0F3B1B70B2074661A29E92D75481174D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4BA286FA" w14:textId="3ECAA251" w:rsidR="00BC312A" w:rsidRPr="002C66B1" w:rsidRDefault="005A6F75" w:rsidP="0068504D">
                    <w:pPr>
                      <w:pStyle w:val="Bezodstpw"/>
                      <w:jc w:val="center"/>
                      <w:rPr>
                        <w:rFonts w:ascii="Century Gothic" w:hAnsi="Century Gothic"/>
                        <w:color w:val="365F91" w:themeColor="accent1" w:themeShade="BF"/>
                        <w:sz w:val="24"/>
                        <w:szCs w:val="24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000000"/>
                      </w:rPr>
                      <w:t>„Świadczenie usług w zakresie wykonania badań nieniszczących/niszczących złączy spawanych gazociągów, innych urządzeń ciśnieniowych oraz badania w zakresie kwalifikowania technologii spawania na terenie działania Operatora Gazociągów Przesyłowych GAZ-SYSTEM S.A. Oddział w Rembelszczyźnie”</w:t>
                    </w:r>
                  </w:p>
                </w:tc>
              </w:sdtContent>
            </w:sdt>
            <w:bookmarkEnd w:id="1" w:displacedByCustomXml="prev"/>
          </w:tr>
          <w:tr w:rsidR="0068504D" w14:paraId="4517FE88" w14:textId="77777777" w:rsidTr="00BC312A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579332FD" w14:textId="77777777" w:rsidR="0068504D" w:rsidRPr="0068504D" w:rsidRDefault="0068504D" w:rsidP="0068504D">
                <w:pPr>
                  <w:pStyle w:val="Bezodstpw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32"/>
                    <w:szCs w:val="32"/>
                    <w:lang w:val="x-none" w:eastAsia="x-none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513"/>
          </w:tblGrid>
          <w:tr w:rsidR="00BC312A" w14:paraId="2105F4DC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3918772" w14:textId="77777777" w:rsidR="00BC312A" w:rsidRDefault="00BC312A" w:rsidP="00916C0E">
                <w:pPr>
                  <w:pStyle w:val="Bezodstpw"/>
                  <w:rPr>
                    <w:color w:val="4F81BD" w:themeColor="accent1"/>
                  </w:rPr>
                </w:pPr>
              </w:p>
            </w:tc>
          </w:tr>
        </w:tbl>
        <w:p w14:paraId="7C8F6A98" w14:textId="77777777" w:rsidR="00BC312A" w:rsidRDefault="00BC312A">
          <w:pPr>
            <w:rPr>
              <w:rFonts w:ascii="Century Gothic" w:eastAsia="Times New Roman" w:hAnsi="Century Gothic" w:cs="Times New Roman"/>
              <w:bCs/>
              <w:color w:val="000000"/>
              <w:lang w:eastAsia="pl-PL"/>
            </w:rPr>
          </w:pPr>
          <w:r>
            <w:rPr>
              <w:rFonts w:ascii="Century Gothic" w:eastAsia="Times New Roman" w:hAnsi="Century Gothic" w:cs="Times New Roman"/>
              <w:bCs/>
              <w:color w:val="000000"/>
              <w:lang w:eastAsia="pl-PL"/>
            </w:rPr>
            <w:br w:type="page"/>
          </w:r>
        </w:p>
      </w:sdtContent>
    </w:sdt>
    <w:p w14:paraId="214C1212" w14:textId="50912361" w:rsidR="001E0688" w:rsidRPr="00332B88" w:rsidRDefault="00F92185" w:rsidP="00332B88">
      <w:pPr>
        <w:pStyle w:val="Akapitzlist"/>
        <w:numPr>
          <w:ilvl w:val="0"/>
          <w:numId w:val="1"/>
        </w:numPr>
        <w:spacing w:after="0" w:line="360" w:lineRule="auto"/>
        <w:contextualSpacing w:val="0"/>
        <w:outlineLvl w:val="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lastRenderedPageBreak/>
        <w:t>Przedmiot zamówienia</w:t>
      </w:r>
      <w:bookmarkEnd w:id="0"/>
      <w:r w:rsidR="001E0688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:</w:t>
      </w:r>
      <w:r w:rsidR="001E0688" w:rsidRPr="00332B88">
        <w:rPr>
          <w:rFonts w:ascii="Century Gothic" w:hAnsi="Century Gothic"/>
          <w:noProof/>
          <w:sz w:val="20"/>
          <w:szCs w:val="20"/>
          <w:lang w:eastAsia="pl-PL"/>
        </w:rPr>
        <w:t xml:space="preserve"> </w:t>
      </w:r>
    </w:p>
    <w:p w14:paraId="75D53BC1" w14:textId="03D7915C" w:rsidR="00B007CB" w:rsidRPr="00332B88" w:rsidRDefault="002744FA" w:rsidP="00332B88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bookmarkStart w:id="2" w:name="_Hlk482951671"/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Przedmiotem zamówienia </w:t>
      </w:r>
      <w:r w:rsidR="009B4DAB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jest świadczenie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usług w zakresie:</w:t>
      </w:r>
    </w:p>
    <w:p w14:paraId="6548AD69" w14:textId="5102C402" w:rsidR="00AB0D7E" w:rsidRDefault="009B4DAB" w:rsidP="00926409">
      <w:pPr>
        <w:pStyle w:val="Akapitzlist"/>
        <w:numPr>
          <w:ilvl w:val="0"/>
          <w:numId w:val="47"/>
        </w:numPr>
        <w:spacing w:after="0" w:line="360" w:lineRule="auto"/>
        <w:ind w:left="851" w:hanging="284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wykonywania </w:t>
      </w:r>
      <w:r w:rsidR="002744F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badań n</w:t>
      </w:r>
      <w:r w:rsid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ienis</w:t>
      </w:r>
      <w:r w:rsidR="002744F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zczących</w:t>
      </w:r>
      <w:r w:rsidR="00AB0D7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AB0D7E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złączy spawanych</w:t>
      </w:r>
      <w:r w:rsidR="00AB0D7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,</w:t>
      </w:r>
    </w:p>
    <w:p w14:paraId="753CB5D1" w14:textId="1A3351D4" w:rsidR="00B007CB" w:rsidRPr="00332B88" w:rsidRDefault="009B4DAB" w:rsidP="00AB0D7E">
      <w:pPr>
        <w:pStyle w:val="Akapitzlist"/>
        <w:numPr>
          <w:ilvl w:val="0"/>
          <w:numId w:val="47"/>
        </w:numPr>
        <w:spacing w:after="0" w:line="360" w:lineRule="auto"/>
        <w:ind w:left="851" w:hanging="284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wykonywania</w:t>
      </w:r>
      <w:r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AB0D7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badań </w:t>
      </w:r>
      <w:r w:rsidR="002744F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niszczących </w:t>
      </w:r>
      <w:bookmarkStart w:id="3" w:name="_Hlk482950740"/>
      <w:r w:rsidR="002744F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złączy spawanych</w:t>
      </w:r>
      <w:bookmarkEnd w:id="3"/>
      <w:r w:rsidR="002744F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,</w:t>
      </w:r>
    </w:p>
    <w:p w14:paraId="573F3076" w14:textId="3F5A8B85" w:rsidR="002744FA" w:rsidRDefault="002744FA" w:rsidP="00926409">
      <w:pPr>
        <w:pStyle w:val="Akapitzlist"/>
        <w:numPr>
          <w:ilvl w:val="0"/>
          <w:numId w:val="47"/>
        </w:numPr>
        <w:spacing w:after="0" w:line="360" w:lineRule="auto"/>
        <w:ind w:left="851" w:hanging="284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kwalifikowani</w:t>
      </w:r>
      <w:r w:rsidR="009B4DAB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technologii spawania wg PN-EN 15614-1</w:t>
      </w:r>
      <w:r w:rsid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090C43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lub równoważnej, albo 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innej wskazanej przez </w:t>
      </w:r>
      <w:r w:rsidR="00332B88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amawiającego normy,</w:t>
      </w:r>
    </w:p>
    <w:p w14:paraId="0FA741FD" w14:textId="77777777" w:rsidR="00AE2C7F" w:rsidRPr="00332B88" w:rsidRDefault="00AE2C7F" w:rsidP="00AE2C7F">
      <w:pPr>
        <w:pStyle w:val="Akapitzlist"/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bookmarkEnd w:id="2"/>
    <w:p w14:paraId="75F88DAC" w14:textId="7A849F70" w:rsidR="00653DAB" w:rsidRPr="00332B88" w:rsidRDefault="00332B88" w:rsidP="00332B88">
      <w:pPr>
        <w:pStyle w:val="Akapitzlist"/>
        <w:numPr>
          <w:ilvl w:val="1"/>
          <w:numId w:val="1"/>
        </w:numPr>
        <w:spacing w:after="0" w:line="360" w:lineRule="auto"/>
        <w:ind w:left="709" w:hanging="567"/>
        <w:outlineLvl w:val="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Rodzaje</w:t>
      </w:r>
      <w:r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badań nieniszczących</w:t>
      </w:r>
      <w:r w:rsidR="00653DAB"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:</w:t>
      </w:r>
    </w:p>
    <w:p w14:paraId="5B5FF8CB" w14:textId="77777777" w:rsidR="00CD3964" w:rsidRPr="00332B88" w:rsidRDefault="00D47437" w:rsidP="00332B88">
      <w:pPr>
        <w:pStyle w:val="Akapitzlist"/>
        <w:numPr>
          <w:ilvl w:val="0"/>
          <w:numId w:val="25"/>
        </w:numPr>
        <w:spacing w:after="0" w:line="360" w:lineRule="auto"/>
        <w:ind w:left="993" w:hanging="426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nia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wizualn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e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VT, </w:t>
      </w:r>
    </w:p>
    <w:p w14:paraId="0BD86096" w14:textId="77777777" w:rsidR="00CD3964" w:rsidRPr="00332B88" w:rsidRDefault="00D47437" w:rsidP="00332B88">
      <w:pPr>
        <w:pStyle w:val="Akapitzlist"/>
        <w:numPr>
          <w:ilvl w:val="0"/>
          <w:numId w:val="25"/>
        </w:numPr>
        <w:spacing w:after="0" w:line="360" w:lineRule="auto"/>
        <w:ind w:left="993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nia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penetracyjn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e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PT,</w:t>
      </w:r>
    </w:p>
    <w:p w14:paraId="06FE0FFF" w14:textId="77777777" w:rsidR="00CD3964" w:rsidRPr="00332B88" w:rsidRDefault="00D47437" w:rsidP="00332B88">
      <w:pPr>
        <w:pStyle w:val="Akapitzlist"/>
        <w:numPr>
          <w:ilvl w:val="0"/>
          <w:numId w:val="25"/>
        </w:numPr>
        <w:spacing w:after="0" w:line="360" w:lineRule="auto"/>
        <w:ind w:left="993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nia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magnetyczno-proszkow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e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MT,</w:t>
      </w:r>
    </w:p>
    <w:p w14:paraId="5BB85146" w14:textId="77777777" w:rsidR="00CD3964" w:rsidRPr="00332B88" w:rsidRDefault="00D47437" w:rsidP="00332B88">
      <w:pPr>
        <w:pStyle w:val="Akapitzlist"/>
        <w:numPr>
          <w:ilvl w:val="0"/>
          <w:numId w:val="25"/>
        </w:numPr>
        <w:spacing w:after="0" w:line="360" w:lineRule="auto"/>
        <w:ind w:left="993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nia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radiograficzn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e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RT,</w:t>
      </w:r>
    </w:p>
    <w:p w14:paraId="4912C7A4" w14:textId="77777777" w:rsidR="00CD3964" w:rsidRPr="00332B88" w:rsidRDefault="00D47437" w:rsidP="00332B88">
      <w:pPr>
        <w:pStyle w:val="Akapitzlist"/>
        <w:numPr>
          <w:ilvl w:val="0"/>
          <w:numId w:val="25"/>
        </w:numPr>
        <w:spacing w:after="0" w:line="360" w:lineRule="auto"/>
        <w:ind w:left="993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nia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ultradźwiękow</w:t>
      </w:r>
      <w:r w:rsidR="00F463E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e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UT, </w:t>
      </w:r>
    </w:p>
    <w:p w14:paraId="7081B6EA" w14:textId="21102675" w:rsidR="00CD3964" w:rsidRDefault="00F463E6" w:rsidP="00332B88">
      <w:pPr>
        <w:pStyle w:val="Akapitzlist"/>
        <w:numPr>
          <w:ilvl w:val="0"/>
          <w:numId w:val="25"/>
        </w:numPr>
        <w:spacing w:after="0" w:line="360" w:lineRule="auto"/>
        <w:ind w:left="993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badania </w:t>
      </w:r>
      <w:r w:rsidR="00D47437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pomiaru grubości ścianek</w:t>
      </w:r>
      <w:r w:rsidR="004F3107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UTT</w:t>
      </w:r>
      <w:r w:rsidR="00CD3964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,</w:t>
      </w:r>
    </w:p>
    <w:p w14:paraId="03A0263B" w14:textId="77777777" w:rsidR="00AE2C7F" w:rsidRPr="00332B88" w:rsidRDefault="00AE2C7F" w:rsidP="00AE2C7F">
      <w:pPr>
        <w:pStyle w:val="Akapitzlist"/>
        <w:spacing w:after="0" w:line="360" w:lineRule="auto"/>
        <w:ind w:left="993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3B533521" w14:textId="09C83E28" w:rsidR="00653DAB" w:rsidRPr="00332B88" w:rsidRDefault="00332B88" w:rsidP="00332B88">
      <w:pPr>
        <w:pStyle w:val="Akapitzlist"/>
        <w:numPr>
          <w:ilvl w:val="1"/>
          <w:numId w:val="1"/>
        </w:numPr>
        <w:spacing w:after="0" w:line="360" w:lineRule="auto"/>
        <w:ind w:left="426" w:hanging="284"/>
        <w:jc w:val="both"/>
        <w:outlineLvl w:val="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Rodzaje</w:t>
      </w:r>
      <w:r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badań niszczących:</w:t>
      </w:r>
    </w:p>
    <w:p w14:paraId="022A123A" w14:textId="77777777" w:rsidR="00653DAB" w:rsidRPr="00332B88" w:rsidRDefault="00653DAB" w:rsidP="00332B88">
      <w:pPr>
        <w:pStyle w:val="Akapitzlist"/>
        <w:numPr>
          <w:ilvl w:val="0"/>
          <w:numId w:val="27"/>
        </w:numPr>
        <w:spacing w:after="0" w:line="360" w:lineRule="auto"/>
        <w:ind w:left="993" w:hanging="426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próby rozciągania (2 próbki);</w:t>
      </w:r>
    </w:p>
    <w:p w14:paraId="2309E961" w14:textId="77777777" w:rsidR="00653DAB" w:rsidRPr="00332B88" w:rsidRDefault="00653DAB" w:rsidP="00332B88">
      <w:pPr>
        <w:pStyle w:val="Akapitzlist"/>
        <w:numPr>
          <w:ilvl w:val="0"/>
          <w:numId w:val="27"/>
        </w:numPr>
        <w:spacing w:after="0" w:line="360" w:lineRule="auto"/>
        <w:ind w:left="993" w:hanging="426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próby zginania (4 próbki);</w:t>
      </w:r>
    </w:p>
    <w:p w14:paraId="4E4AEB75" w14:textId="77777777" w:rsidR="00653DAB" w:rsidRPr="00332B88" w:rsidRDefault="00653DAB" w:rsidP="00332B88">
      <w:pPr>
        <w:pStyle w:val="Akapitzlist"/>
        <w:numPr>
          <w:ilvl w:val="0"/>
          <w:numId w:val="27"/>
        </w:numPr>
        <w:spacing w:after="0" w:line="360" w:lineRule="auto"/>
        <w:ind w:left="993" w:hanging="426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próby udarności </w:t>
      </w:r>
      <w:smartTag w:uri="urn:schemas-microsoft-com:office:smarttags" w:element="metricconverter">
        <w:smartTagPr>
          <w:attr w:name="ProductID" w:val="-30ﾰC"/>
        </w:smartTagPr>
        <w:r w:rsidRPr="00332B88">
          <w:rPr>
            <w:rFonts w:ascii="Century Gothic" w:eastAsia="Times New Roman" w:hAnsi="Century Gothic" w:cs="Times New Roman"/>
            <w:bCs/>
            <w:color w:val="000000"/>
            <w:sz w:val="20"/>
            <w:szCs w:val="20"/>
            <w:lang w:eastAsia="pl-PL"/>
          </w:rPr>
          <w:t>-30°C</w:t>
        </w:r>
      </w:smartTag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(2 zestawy po 3 próbki);</w:t>
      </w:r>
    </w:p>
    <w:p w14:paraId="2B37C158" w14:textId="77777777" w:rsidR="00653DAB" w:rsidRPr="00332B88" w:rsidRDefault="00653DAB" w:rsidP="00332B88">
      <w:pPr>
        <w:pStyle w:val="Akapitzlist"/>
        <w:numPr>
          <w:ilvl w:val="0"/>
          <w:numId w:val="27"/>
        </w:numPr>
        <w:spacing w:after="0" w:line="360" w:lineRule="auto"/>
        <w:ind w:left="993" w:hanging="426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badania twardości (1 próbka);</w:t>
      </w:r>
    </w:p>
    <w:p w14:paraId="15011EA5" w14:textId="6768B85A" w:rsidR="00653DAB" w:rsidRDefault="00653DAB" w:rsidP="00332B88">
      <w:pPr>
        <w:pStyle w:val="Akapitzlist"/>
        <w:numPr>
          <w:ilvl w:val="0"/>
          <w:numId w:val="27"/>
        </w:numPr>
        <w:spacing w:after="0" w:line="360" w:lineRule="auto"/>
        <w:ind w:left="993" w:hanging="426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badania metalograficznego makroskopowego (1 próbka),</w:t>
      </w:r>
    </w:p>
    <w:p w14:paraId="37753248" w14:textId="77777777" w:rsidR="00AE2C7F" w:rsidRPr="00332B88" w:rsidRDefault="00AE2C7F" w:rsidP="00AE2C7F">
      <w:pPr>
        <w:pStyle w:val="Akapitzlist"/>
        <w:spacing w:after="0" w:line="360" w:lineRule="auto"/>
        <w:ind w:left="993"/>
        <w:contextualSpacing w:val="0"/>
        <w:jc w:val="both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670152F7" w14:textId="77777777" w:rsidR="00B4717B" w:rsidRPr="00332B88" w:rsidRDefault="00B4717B" w:rsidP="00332B88">
      <w:pPr>
        <w:pStyle w:val="Akapitzlist"/>
        <w:numPr>
          <w:ilvl w:val="1"/>
          <w:numId w:val="1"/>
        </w:numPr>
        <w:spacing w:after="0" w:line="360" w:lineRule="auto"/>
        <w:ind w:left="709"/>
        <w:outlineLvl w:val="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375449"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Kwalifikowanie</w:t>
      </w:r>
      <w:r w:rsidR="009E7597"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technologii spawania </w:t>
      </w:r>
    </w:p>
    <w:p w14:paraId="38D8C252" w14:textId="1174C119" w:rsidR="00B4717B" w:rsidRDefault="005F13FA" w:rsidP="00332B88">
      <w:pPr>
        <w:pStyle w:val="Akapitzlist"/>
        <w:numPr>
          <w:ilvl w:val="0"/>
          <w:numId w:val="35"/>
        </w:numPr>
        <w:spacing w:after="0" w:line="360" w:lineRule="auto"/>
        <w:ind w:left="993" w:hanging="426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Wykonanie uznania technologii spawania (WPQR) na podstawie dostarczonej </w:t>
      </w:r>
      <w:r w:rsidR="00BB639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przez Zamawiającego 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instrukcji spawania </w:t>
      </w:r>
      <w:proofErr w:type="spellStart"/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pWPS</w:t>
      </w:r>
      <w:proofErr w:type="spellEnd"/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</w:p>
    <w:p w14:paraId="472091F5" w14:textId="77777777" w:rsidR="00AE2C7F" w:rsidRPr="00332B88" w:rsidRDefault="00AE2C7F" w:rsidP="00AE2C7F">
      <w:pPr>
        <w:pStyle w:val="Akapitzlist"/>
        <w:spacing w:after="0" w:line="360" w:lineRule="auto"/>
        <w:ind w:left="993"/>
        <w:outlineLvl w:val="0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4489CEAB" w14:textId="77777777" w:rsidR="006819F9" w:rsidRPr="00332B88" w:rsidRDefault="00307E98" w:rsidP="00332B88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outlineLvl w:val="0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bookmarkStart w:id="4" w:name="_Toc406060417"/>
      <w:r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Miejsce realizacji zamówienia</w:t>
      </w:r>
      <w:bookmarkEnd w:id="4"/>
    </w:p>
    <w:p w14:paraId="75CA52E1" w14:textId="5010178D" w:rsidR="006819F9" w:rsidRDefault="006819F9" w:rsidP="00926409">
      <w:pPr>
        <w:pStyle w:val="Akapitzlist"/>
        <w:spacing w:line="360" w:lineRule="auto"/>
        <w:ind w:left="567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bookmarkStart w:id="5" w:name="_Toc406060418"/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Obszar działania </w:t>
      </w:r>
      <w:r w:rsidR="00F2293F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Oddziału w Rembelszczyźnie,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według załączonej poglądowej </w:t>
      </w:r>
      <w:r w:rsidR="00D54380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mapy – </w:t>
      </w:r>
      <w:r w:rsidR="00F2293F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</w:t>
      </w:r>
      <w:r w:rsidR="00D54380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ałącznik nr 1</w:t>
      </w:r>
      <w:r w:rsidR="00F2293F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do OPZ.</w:t>
      </w:r>
    </w:p>
    <w:p w14:paraId="1464546B" w14:textId="77777777" w:rsidR="00AE2C7F" w:rsidRDefault="00AE2C7F" w:rsidP="00926409">
      <w:pPr>
        <w:pStyle w:val="Akapitzlist"/>
        <w:spacing w:line="360" w:lineRule="auto"/>
        <w:ind w:left="567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5F6B39F7" w14:textId="77777777" w:rsidR="00F463E6" w:rsidRPr="00332B88" w:rsidRDefault="00156FC2" w:rsidP="00332B88">
      <w:pPr>
        <w:pStyle w:val="Akapitzlist"/>
        <w:numPr>
          <w:ilvl w:val="0"/>
          <w:numId w:val="1"/>
        </w:num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Z</w:t>
      </w:r>
      <w:r w:rsidR="00202E3B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akres</w:t>
      </w:r>
      <w:r w:rsidR="00757D30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wykonywanych</w:t>
      </w:r>
      <w:r w:rsidR="00307E98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prac</w:t>
      </w:r>
      <w:bookmarkEnd w:id="5"/>
      <w:r w:rsidR="00C9131E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– badania </w:t>
      </w:r>
      <w:bookmarkStart w:id="6" w:name="_Hlk15991227"/>
      <w:r w:rsidR="00C9131E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nieniszczące</w:t>
      </w:r>
      <w:bookmarkEnd w:id="6"/>
      <w:r w:rsidR="00897536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:</w:t>
      </w:r>
      <w:r w:rsidR="00307E98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</w:t>
      </w:r>
    </w:p>
    <w:p w14:paraId="2F9B8F80" w14:textId="21813A92" w:rsidR="00F4617F" w:rsidRPr="00332B88" w:rsidRDefault="0068504D" w:rsidP="0068504D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</w:t>
      </w:r>
      <w:r w:rsidR="0078584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adania wizualne (VT) złączy spawanych wg  PN EN ISO 17637</w:t>
      </w:r>
      <w:r w:rsid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lub równoważnej</w:t>
      </w:r>
      <w:r w:rsidR="00F21380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  <w:r w:rsidR="0078584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</w:p>
    <w:p w14:paraId="347F6729" w14:textId="3E96F18C" w:rsidR="0068504D" w:rsidRDefault="000B64C1" w:rsidP="00C944A7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68504D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adania</w:t>
      </w:r>
      <w:r w:rsidR="0068504D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radiograficzne</w:t>
      </w:r>
      <w:r w:rsidR="0068504D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(RT)</w:t>
      </w:r>
      <w:r w:rsidR="0068504D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złączy</w:t>
      </w:r>
      <w:r w:rsidR="0068504D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spawanych</w:t>
      </w:r>
      <w:r w:rsidR="0068504D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wg</w:t>
      </w:r>
      <w:r w:rsidR="0068504D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PN-EN ISO 17636</w:t>
      </w:r>
      <w:r w:rsidR="00916C0E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-1</w:t>
      </w:r>
      <w:r w:rsid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lub równoważnej</w:t>
      </w:r>
      <w:r w:rsidR="00DF4396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</w:p>
    <w:p w14:paraId="0DAA905D" w14:textId="6B614780" w:rsidR="0068504D" w:rsidRDefault="00156FC2" w:rsidP="007240D7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68504D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adania ultradźwiękowe (UT) złączy spawanych wg PN-EN ISO 17640</w:t>
      </w:r>
      <w:r w:rsid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lub równoważnej</w:t>
      </w:r>
      <w:r w:rsidR="00DF4396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</w:p>
    <w:p w14:paraId="3EAB6F6D" w14:textId="000C38A9" w:rsidR="0068504D" w:rsidRDefault="0068504D" w:rsidP="007240D7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</w:t>
      </w:r>
      <w:r w:rsidR="00976B27" w:rsidRPr="0068504D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adania penetracyjne (PT) złączy spawanych wg PN-EN ISO 3452-1</w:t>
      </w:r>
      <w:r w:rsid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lub równoważnej</w:t>
      </w:r>
      <w:r w:rsidR="00DF4396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</w:p>
    <w:p w14:paraId="51CD37C3" w14:textId="056BF3C0" w:rsidR="00F4617F" w:rsidRPr="00863D9E" w:rsidRDefault="0068504D" w:rsidP="007240D7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lastRenderedPageBreak/>
        <w:t>B</w:t>
      </w:r>
      <w:r w:rsidR="00976B27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adania magnetyczn</w:t>
      </w:r>
      <w:r w:rsidR="004F3107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o-proszkowe</w:t>
      </w:r>
      <w:r w:rsidR="00976B27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(MT) złączy spawanych  wg PN-EN ISO 17638</w:t>
      </w:r>
      <w:r w:rsidR="00863D9E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lub równoważnej</w:t>
      </w:r>
      <w:r w:rsidR="00F21380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  <w:r w:rsidR="00976B27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</w:p>
    <w:p w14:paraId="4D69B3ED" w14:textId="204B8E08" w:rsidR="00F21380" w:rsidRPr="00863D9E" w:rsidRDefault="00F21380" w:rsidP="00332B88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Wszystkie badane spoiny powinny odpowiadać poziomowi jakości B wg PN-EN ISO 5817</w:t>
      </w:r>
      <w:r w:rsidR="00863D9E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lub równoważnej</w:t>
      </w:r>
      <w:r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Pr="00863D9E">
        <w:rPr>
          <w:rFonts w:ascii="Century Gothic" w:hAnsi="Century Gothic" w:cs="Century Gothic"/>
          <w:color w:val="000000"/>
          <w:sz w:val="20"/>
          <w:szCs w:val="20"/>
        </w:rPr>
        <w:t>z odstępstwami dla wymagań jakościowych D tablica G.1 normy PN-EN 12732</w:t>
      </w:r>
      <w:r w:rsidR="00863D9E" w:rsidRPr="00863D9E">
        <w:rPr>
          <w:rFonts w:ascii="Century Gothic" w:hAnsi="Century Gothic" w:cs="Century Gothic"/>
          <w:color w:val="000000"/>
          <w:sz w:val="20"/>
          <w:szCs w:val="20"/>
        </w:rPr>
        <w:t xml:space="preserve"> </w:t>
      </w:r>
      <w:r w:rsidR="00863D9E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lub równoważnej</w:t>
      </w:r>
      <w:r w:rsidRPr="00863D9E">
        <w:rPr>
          <w:rFonts w:ascii="Century Gothic" w:hAnsi="Century Gothic" w:cs="Century Gothic"/>
          <w:color w:val="000000"/>
          <w:sz w:val="20"/>
          <w:szCs w:val="20"/>
        </w:rPr>
        <w:t xml:space="preserve">. </w:t>
      </w:r>
      <w:r w:rsidR="00863D9E" w:rsidRPr="00863D9E">
        <w:rPr>
          <w:rFonts w:ascii="Century Gothic" w:hAnsi="Century Gothic" w:cs="Century Gothic"/>
          <w:color w:val="000000"/>
          <w:sz w:val="20"/>
          <w:szCs w:val="20"/>
        </w:rPr>
        <w:t>Zamawiający zastrzega, że w zleceniu mogą zostać zastosowane inne kryteria odbioru, wynikające ze zmiany przepisów powszechnie obowiązującego prawa powszechnie ( w  szczególności wymaganych przez UDT).</w:t>
      </w:r>
    </w:p>
    <w:p w14:paraId="48E12727" w14:textId="32D0BD9D" w:rsidR="00F4617F" w:rsidRPr="00332B88" w:rsidRDefault="00DF4396" w:rsidP="00332B88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</w:t>
      </w:r>
      <w:r w:rsidR="00976B27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adania grubości ścianek gazociągów wysokiego ciśnienia na łukach gazociągów technologicznych tłoczni gazu, układów zaporowo-upustowych </w:t>
      </w:r>
      <w:r w:rsidR="00F4617F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br/>
      </w:r>
      <w:r w:rsidR="00976B27" w:rsidRPr="00863D9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i stacjach redukcyjnych oraz innych urządzeń metodą ultradźwiękową</w:t>
      </w:r>
      <w:r w:rsidR="00976B27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</w:p>
    <w:p w14:paraId="00A7F1EB" w14:textId="0DCFFD71" w:rsidR="00EA7B88" w:rsidRPr="00AE2C7F" w:rsidRDefault="00EA7B88" w:rsidP="00332B88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Wykonawca musi dysponować mobilnym laboratorium </w:t>
      </w:r>
      <w:bookmarkStart w:id="7" w:name="_Hlk482952379"/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- samochodem 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umożliwiającym</w:t>
      </w: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przeprowadzanie badań oraz przewóz sprzętu do badań nieniszczących</w:t>
      </w:r>
      <w:r w:rsidR="00F2293F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.</w:t>
      </w: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jak również posiadającym warunki do obróbki błon radiograficznych. </w:t>
      </w:r>
      <w:r w:rsidR="000A2378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Mobilne laboratorium musi posiadać:</w:t>
      </w:r>
    </w:p>
    <w:p w14:paraId="45F86351" w14:textId="77777777" w:rsidR="00EA7B88" w:rsidRPr="00AE2C7F" w:rsidRDefault="00EA7B88" w:rsidP="00332B88">
      <w:pPr>
        <w:pStyle w:val="Akapitzlist"/>
        <w:numPr>
          <w:ilvl w:val="0"/>
          <w:numId w:val="37"/>
        </w:numPr>
        <w:spacing w:after="0" w:line="360" w:lineRule="auto"/>
        <w:ind w:left="1276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system obróbki błon radiograficznych (</w:t>
      </w:r>
      <w:proofErr w:type="spellStart"/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wywoływarka</w:t>
      </w:r>
      <w:proofErr w:type="spellEnd"/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automatyczna lub mokry stół)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;</w:t>
      </w:r>
    </w:p>
    <w:p w14:paraId="6506F4F0" w14:textId="77777777" w:rsidR="00EA7B88" w:rsidRPr="00AE2C7F" w:rsidRDefault="00EA7B88" w:rsidP="00332B88">
      <w:pPr>
        <w:pStyle w:val="Akapitzlist"/>
        <w:numPr>
          <w:ilvl w:val="0"/>
          <w:numId w:val="37"/>
        </w:numPr>
        <w:spacing w:after="0" w:line="360" w:lineRule="auto"/>
        <w:ind w:left="1276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sprzęt do wykonywania badań radiograficznych zarówno przy użyciu promieni X jak i z użyci</w:t>
      </w:r>
      <w:r w:rsidR="007D15F7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em źródeł izotopowych Se75 i Ir</w:t>
      </w: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92 elementów w zakresie grubości od 5 do 90 mm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;</w:t>
      </w:r>
    </w:p>
    <w:p w14:paraId="56EF90AD" w14:textId="77777777" w:rsidR="00EA7B88" w:rsidRPr="00AE2C7F" w:rsidRDefault="00EA7B88" w:rsidP="00332B88">
      <w:pPr>
        <w:pStyle w:val="Akapitzlist"/>
        <w:numPr>
          <w:ilvl w:val="0"/>
          <w:numId w:val="37"/>
        </w:numPr>
        <w:spacing w:after="0" w:line="360" w:lineRule="auto"/>
        <w:ind w:left="1276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elementy do oceny błon radiograficznych (negatoskop, densytometr, wzorzec densytometryczny, wzorce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pręcikowe, znaczniki ołowiane);</w:t>
      </w:r>
    </w:p>
    <w:p w14:paraId="3F8E0F7E" w14:textId="77777777" w:rsidR="00EA7B88" w:rsidRPr="00AE2C7F" w:rsidRDefault="00EA7B88" w:rsidP="00332B88">
      <w:pPr>
        <w:pStyle w:val="Akapitzlist"/>
        <w:numPr>
          <w:ilvl w:val="0"/>
          <w:numId w:val="37"/>
        </w:numPr>
        <w:spacing w:after="0" w:line="360" w:lineRule="auto"/>
        <w:ind w:left="1276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wyposażenie do badań ultradźwiękowych umożliwiający przeprowadzenie badań grubości elementów, badań na rozwarstwienie oraz badań spoin (defektoskop ultradźwiękowy, wz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orce do badań ultradźwiękowych);</w:t>
      </w:r>
    </w:p>
    <w:p w14:paraId="47F53C06" w14:textId="77777777" w:rsidR="00EA7B88" w:rsidRPr="00AE2C7F" w:rsidRDefault="00EA7B88" w:rsidP="00332B88">
      <w:pPr>
        <w:pStyle w:val="Akapitzlist"/>
        <w:numPr>
          <w:ilvl w:val="0"/>
          <w:numId w:val="37"/>
        </w:numPr>
        <w:spacing w:after="0" w:line="360" w:lineRule="auto"/>
        <w:ind w:left="1276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wyposażenie do badań magnetyczno-proszkowych (jarzmo do badań, wzorce do badań magnetyczno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-</w:t>
      </w: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proszkowych, miernik natężenia pola magnetycznego)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;</w:t>
      </w:r>
    </w:p>
    <w:p w14:paraId="260C978F" w14:textId="77777777" w:rsidR="00EA7B88" w:rsidRPr="00AE2C7F" w:rsidRDefault="00EA7B88" w:rsidP="00332B88">
      <w:pPr>
        <w:pStyle w:val="Akapitzlist"/>
        <w:numPr>
          <w:ilvl w:val="0"/>
          <w:numId w:val="37"/>
        </w:numPr>
        <w:spacing w:after="0" w:line="360" w:lineRule="auto"/>
        <w:ind w:left="1276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wyposażenie do badań penetracyjnych 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(zestaw do badań penetracyjnych, wzorzec do badań penetracyjnych);</w:t>
      </w:r>
    </w:p>
    <w:p w14:paraId="4C1F1992" w14:textId="77777777" w:rsidR="00F2293F" w:rsidRPr="00AE2C7F" w:rsidRDefault="00ED6E82" w:rsidP="00332B88">
      <w:pPr>
        <w:pStyle w:val="Akapitzlist"/>
        <w:numPr>
          <w:ilvl w:val="0"/>
          <w:numId w:val="37"/>
        </w:numPr>
        <w:spacing w:after="0" w:line="360" w:lineRule="auto"/>
        <w:ind w:left="1276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r w:rsidR="00EA7B88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wyposażenie do badań wizualnych 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(luxomierz, lupa, </w:t>
      </w:r>
      <w:r w:rsidR="00575E55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przymiar liniowy</w:t>
      </w:r>
      <w:r w:rsidR="00273181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itp.)</w:t>
      </w:r>
      <w:r w:rsidR="00F2293F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;</w:t>
      </w:r>
    </w:p>
    <w:p w14:paraId="6024E0F6" w14:textId="49770223" w:rsidR="00EA7B88" w:rsidRPr="00AE2C7F" w:rsidRDefault="00F2293F" w:rsidP="00332B88">
      <w:pPr>
        <w:pStyle w:val="Akapitzlist"/>
        <w:numPr>
          <w:ilvl w:val="0"/>
          <w:numId w:val="37"/>
        </w:numPr>
        <w:spacing w:after="0" w:line="360" w:lineRule="auto"/>
        <w:ind w:left="1276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własne zasilanie elektryczne</w:t>
      </w:r>
      <w:bookmarkEnd w:id="7"/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.</w:t>
      </w:r>
    </w:p>
    <w:p w14:paraId="33EF0A55" w14:textId="08215A6F" w:rsidR="0068504D" w:rsidRDefault="00045F67" w:rsidP="002C66B1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bookmarkStart w:id="8" w:name="_Hlk17389028"/>
      <w:bookmarkStart w:id="9" w:name="_Hlk15989598"/>
      <w:r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Szacunkowe ilości bada</w:t>
      </w:r>
      <w:r w:rsidR="00AB0D7E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nieniszczących</w:t>
      </w:r>
      <w:r w:rsidR="00580C4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stanowi Załącznik nr </w:t>
      </w:r>
      <w:r w:rsidR="002C66B1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2</w:t>
      </w:r>
      <w:r w:rsidR="00580C4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  <w:bookmarkEnd w:id="8"/>
    </w:p>
    <w:bookmarkEnd w:id="9"/>
    <w:p w14:paraId="037D62A3" w14:textId="77777777" w:rsidR="00580C48" w:rsidRPr="00332B88" w:rsidRDefault="00580C48" w:rsidP="00580C48">
      <w:pPr>
        <w:spacing w:after="0" w:line="360" w:lineRule="auto"/>
        <w:ind w:left="567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21248A3D" w14:textId="77777777" w:rsidR="00C9131E" w:rsidRPr="00332B88" w:rsidRDefault="00C9131E" w:rsidP="00332B88">
      <w:pPr>
        <w:pStyle w:val="Akapitzlist"/>
        <w:numPr>
          <w:ilvl w:val="0"/>
          <w:numId w:val="1"/>
        </w:num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r w:rsidRPr="00AE2C7F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Zakres wykonywanych prac – badania niszczące</w:t>
      </w:r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: </w:t>
      </w:r>
    </w:p>
    <w:p w14:paraId="11D80122" w14:textId="77777777" w:rsidR="00C9131E" w:rsidRPr="00332B88" w:rsidRDefault="00C9131E" w:rsidP="00332B88">
      <w:pPr>
        <w:pStyle w:val="Akapitzlist"/>
        <w:numPr>
          <w:ilvl w:val="1"/>
          <w:numId w:val="1"/>
        </w:numPr>
        <w:spacing w:after="0" w:line="360" w:lineRule="auto"/>
        <w:ind w:left="709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Wykonywanie zgodnie z obowiązującymi normami kompletnych (włącznie z przygotowaniem próbek) badań niszczących złączy spawanych wg zestawienia co do rodzaju badań i ilości próbek zgodnie z tablicą 1 normy PN-EN ISO 15614-</w:t>
      </w:r>
      <w:smartTag w:uri="urn:schemas-microsoft-com:office:smarttags" w:element="metricconverter">
        <w:smartTagPr>
          <w:attr w:name="ProductID" w:val="1 a"/>
        </w:smartTagPr>
        <w:r w:rsidRPr="00332B88">
          <w:rPr>
            <w:rFonts w:ascii="Century Gothic" w:eastAsia="Times New Roman" w:hAnsi="Century Gothic" w:cs="Times New Roman"/>
            <w:bCs/>
            <w:color w:val="000000"/>
            <w:sz w:val="20"/>
            <w:szCs w:val="20"/>
            <w:lang w:eastAsia="pl-PL"/>
          </w:rPr>
          <w:t>1 a</w:t>
        </w:r>
      </w:smartTag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mianowicie:</w:t>
      </w:r>
    </w:p>
    <w:p w14:paraId="26B026F5" w14:textId="77777777" w:rsidR="00C9131E" w:rsidRPr="00332B88" w:rsidRDefault="00C9131E" w:rsidP="00332B8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próby rozciągania (2 próbki);</w:t>
      </w:r>
    </w:p>
    <w:p w14:paraId="4ED341EC" w14:textId="77777777" w:rsidR="00C9131E" w:rsidRPr="00332B88" w:rsidRDefault="00C9131E" w:rsidP="00332B8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próby zginania (4 próbki);</w:t>
      </w:r>
    </w:p>
    <w:p w14:paraId="1994C810" w14:textId="77777777" w:rsidR="00C9131E" w:rsidRPr="00332B88" w:rsidRDefault="00C9131E" w:rsidP="00332B8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lastRenderedPageBreak/>
        <w:t xml:space="preserve">próby udarności </w:t>
      </w:r>
      <w:smartTag w:uri="urn:schemas-microsoft-com:office:smarttags" w:element="metricconverter">
        <w:smartTagPr>
          <w:attr w:name="ProductID" w:val="-30ﾰC"/>
        </w:smartTagPr>
        <w:r w:rsidRPr="00332B88">
          <w:rPr>
            <w:rFonts w:ascii="Century Gothic" w:eastAsia="Times New Roman" w:hAnsi="Century Gothic" w:cs="Times New Roman"/>
            <w:bCs/>
            <w:color w:val="000000"/>
            <w:sz w:val="20"/>
            <w:szCs w:val="20"/>
            <w:lang w:eastAsia="pl-PL"/>
          </w:rPr>
          <w:t>-30°C</w:t>
        </w:r>
      </w:smartTag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(2 zestawy po 3 próbki);</w:t>
      </w:r>
    </w:p>
    <w:p w14:paraId="7BCBD2AB" w14:textId="77777777" w:rsidR="00C9131E" w:rsidRPr="00332B88" w:rsidRDefault="00C9131E" w:rsidP="00332B8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badania twardości (1 próbka);</w:t>
      </w:r>
    </w:p>
    <w:p w14:paraId="555DE78D" w14:textId="77777777" w:rsidR="00C9131E" w:rsidRPr="00332B88" w:rsidRDefault="00C9131E" w:rsidP="00332B8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badania metalograficznego makroskopowego (1 próbka),</w:t>
      </w:r>
    </w:p>
    <w:p w14:paraId="0E88E8C3" w14:textId="77777777" w:rsidR="00CE3A4D" w:rsidRPr="00332B88" w:rsidRDefault="00CE3A4D" w:rsidP="00332B8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dopuszcza się inny zakres badań z podaniem innych kryteriów odbiorowych na podstawie odrębnego uzgodnienia.</w:t>
      </w:r>
    </w:p>
    <w:p w14:paraId="355640D4" w14:textId="2570E3D1" w:rsidR="00C9131E" w:rsidRDefault="00C9131E" w:rsidP="00332B88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Po stronie Wykonawcy należy odbiór i transport złączy spawanych z siedziby Zamawiającego (lub każdego innego miejsca, które wskaże Zamawiający w zleceniu), znajdującego się na obszarze działania Oddziału, do laboratorium badań niszczących (nieniszczących) i po wykonaniu stosownych badań określonych w zleceniu (przy udziale inspektora UDT w przypadku złączy wykonanych w ramach kwalifikowania technologii spawania), zwrotne przekazanie do Zamawiającego wyników badań - protokoły.</w:t>
      </w:r>
    </w:p>
    <w:p w14:paraId="76E0A276" w14:textId="4E93F0D5" w:rsidR="00045F67" w:rsidRPr="00332B88" w:rsidRDefault="00045F67" w:rsidP="00332B88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bookmarkStart w:id="10" w:name="_Hlk17389256"/>
      <w:r w:rsidRPr="00045F67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Szacunkowe ilości bada</w:t>
      </w:r>
      <w:r w:rsidR="004358F6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ń</w:t>
      </w:r>
      <w:r w:rsidRPr="00045F67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niszczących stanowi Załącznik nr </w:t>
      </w:r>
      <w:r w:rsidR="002C66B1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2</w:t>
      </w:r>
      <w:r w:rsidRPr="00045F67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</w:p>
    <w:bookmarkEnd w:id="10"/>
    <w:p w14:paraId="68818136" w14:textId="77777777" w:rsidR="00B4717B" w:rsidRPr="00332B88" w:rsidRDefault="00B4717B" w:rsidP="00332B88">
      <w:pPr>
        <w:pStyle w:val="Akapitzlist"/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4B46DB0B" w14:textId="77777777" w:rsidR="00B4717B" w:rsidRPr="00332B88" w:rsidRDefault="00B4717B" w:rsidP="00332B88">
      <w:pPr>
        <w:pStyle w:val="Akapitzlist"/>
        <w:numPr>
          <w:ilvl w:val="0"/>
          <w:numId w:val="1"/>
        </w:num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Zakres wykonywania prac – </w:t>
      </w:r>
      <w:r w:rsidR="005140C0"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kwalifikowanie </w:t>
      </w:r>
      <w:r w:rsidR="00BF218D" w:rsidRPr="00332B88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technologii spawania.</w:t>
      </w:r>
    </w:p>
    <w:p w14:paraId="784E1A72" w14:textId="7822EB77" w:rsidR="002D0307" w:rsidRPr="00332B88" w:rsidRDefault="002D0307" w:rsidP="00332B88">
      <w:pPr>
        <w:pStyle w:val="Akapitzlist"/>
        <w:numPr>
          <w:ilvl w:val="1"/>
          <w:numId w:val="1"/>
        </w:numPr>
        <w:spacing w:after="0" w:line="360" w:lineRule="auto"/>
        <w:ind w:left="851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Kwalifikowanie technologii spawania WPQR zgodnie z PN-EN ISO 15614-1</w:t>
      </w:r>
      <w:r w:rsidR="00C66DA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4358F6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lub równoważną, albo </w:t>
      </w:r>
      <w:r w:rsidR="00C66DA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inną wskazaną </w:t>
      </w:r>
      <w:r w:rsidR="00353067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przez Zamawiającego </w:t>
      </w:r>
      <w:r w:rsidR="00C66DA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normą</w:t>
      </w:r>
      <w:r w:rsidR="003C118C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 Ośrodek musi zapewnić możliwość</w:t>
      </w:r>
      <w:r w:rsidR="00C66DA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:</w:t>
      </w:r>
    </w:p>
    <w:p w14:paraId="6759855E" w14:textId="77777777" w:rsidR="003C118C" w:rsidRPr="00332B88" w:rsidRDefault="005140C0" w:rsidP="00332B88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wykonanie </w:t>
      </w:r>
      <w:r w:rsidR="00BF218D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złącza próbnego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na podstawie dostarczonego </w:t>
      </w:r>
      <w:proofErr w:type="spellStart"/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pWPS</w:t>
      </w:r>
      <w:proofErr w:type="spellEnd"/>
      <w:r w:rsidR="00530838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;</w:t>
      </w:r>
    </w:p>
    <w:p w14:paraId="705E4E06" w14:textId="77777777" w:rsidR="00C66DA6" w:rsidRPr="00332B88" w:rsidRDefault="00C66DA6" w:rsidP="00332B88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materiały do spawania dostarczy Zamawiający</w:t>
      </w:r>
      <w:r w:rsidR="0078259C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lub w uzgodnionych przypadkach próbki zostaną wykonane z materiału pracowni spawalniczej</w:t>
      </w:r>
      <w:r w:rsidR="00530838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;</w:t>
      </w:r>
    </w:p>
    <w:p w14:paraId="6CE42514" w14:textId="77777777" w:rsidR="003C118C" w:rsidRPr="00332B88" w:rsidRDefault="00530838" w:rsidP="00332B88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nadzór przebiegu</w:t>
      </w:r>
      <w:r w:rsidR="003C118C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procesu spa</w:t>
      </w:r>
      <w:r w:rsidR="00C66DA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wania podczas spawania złącza próbnego musi być nadzorowany przez inspektora UDT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;</w:t>
      </w:r>
    </w:p>
    <w:p w14:paraId="076F557F" w14:textId="77777777" w:rsidR="00C66DA6" w:rsidRPr="00332B88" w:rsidRDefault="00530838" w:rsidP="00332B88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Zamawiający otrzyma</w:t>
      </w:r>
      <w:r w:rsidR="00C66DA6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protokół uznania technologii spawania wydany przez Urząd Dozoru Technicznego</w:t>
      </w:r>
      <w:r w:rsidR="00CE3A4D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</w:t>
      </w:r>
      <w:r w:rsidR="00D814E2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 terminie nie dłuższym niż 30 kolejnych dni roboczych</w:t>
      </w:r>
      <w:r w:rsidR="00DE025F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od dnia spawania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;</w:t>
      </w:r>
    </w:p>
    <w:p w14:paraId="5FB03331" w14:textId="28DA5E79" w:rsidR="002C66B1" w:rsidRDefault="001528A7" w:rsidP="002C66B1">
      <w:pPr>
        <w:numPr>
          <w:ilvl w:val="0"/>
          <w:numId w:val="40"/>
        </w:numPr>
        <w:spacing w:after="0" w:line="36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332B88">
        <w:rPr>
          <w:rFonts w:ascii="Century Gothic" w:hAnsi="Century Gothic" w:cs="Century Gothic"/>
          <w:color w:val="000000"/>
          <w:sz w:val="20"/>
          <w:szCs w:val="20"/>
        </w:rPr>
        <w:t xml:space="preserve">Wykonawca badań zobowiązany </w:t>
      </w:r>
      <w:r w:rsidR="00CE3A4D" w:rsidRPr="00332B88">
        <w:rPr>
          <w:rFonts w:ascii="Century Gothic" w:hAnsi="Century Gothic" w:cs="Century Gothic"/>
          <w:color w:val="000000"/>
          <w:sz w:val="20"/>
          <w:szCs w:val="20"/>
        </w:rPr>
        <w:t xml:space="preserve">jest </w:t>
      </w:r>
      <w:r w:rsidRPr="00332B88">
        <w:rPr>
          <w:rFonts w:ascii="Century Gothic" w:hAnsi="Century Gothic" w:cs="Century Gothic"/>
          <w:color w:val="000000"/>
          <w:sz w:val="20"/>
          <w:szCs w:val="20"/>
        </w:rPr>
        <w:t xml:space="preserve">ponieść wszystkie koszty związane z badaniami które mogą obciążyć zamawiającego na etapie uzyskiwania certyfikatu WPQR (Uznania Technologii Spawania). </w:t>
      </w:r>
    </w:p>
    <w:p w14:paraId="5C66FDD4" w14:textId="68F0A1F7" w:rsidR="002C66B1" w:rsidRPr="002C66B1" w:rsidRDefault="002C66B1" w:rsidP="002C66B1">
      <w:pPr>
        <w:pStyle w:val="Akapitzlist"/>
        <w:numPr>
          <w:ilvl w:val="1"/>
          <w:numId w:val="1"/>
        </w:numPr>
        <w:spacing w:after="0" w:line="360" w:lineRule="auto"/>
        <w:ind w:left="851" w:hanging="425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2C66B1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Szacunkowe </w:t>
      </w: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ilości bada</w:t>
      </w:r>
      <w:r w:rsidR="004358F6"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ń</w:t>
      </w:r>
      <w:r w:rsidRPr="00AE2C7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niszczących </w:t>
      </w:r>
      <w:r w:rsidRPr="002C66B1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stanowi Załącznik nr 2.</w:t>
      </w:r>
    </w:p>
    <w:p w14:paraId="21642914" w14:textId="77777777" w:rsidR="0068504D" w:rsidRPr="00332B88" w:rsidRDefault="0068504D" w:rsidP="00332B88">
      <w:pPr>
        <w:spacing w:after="0" w:line="360" w:lineRule="auto"/>
        <w:ind w:left="1211"/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p w14:paraId="32A68F44" w14:textId="77777777" w:rsidR="00D814E2" w:rsidRPr="00332B88" w:rsidRDefault="00D814E2" w:rsidP="00332B88">
      <w:pPr>
        <w:pStyle w:val="Akapitzlist"/>
        <w:numPr>
          <w:ilvl w:val="0"/>
          <w:numId w:val="1"/>
        </w:num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Sposób realizacji zamówienia</w:t>
      </w:r>
    </w:p>
    <w:p w14:paraId="3AD30316" w14:textId="7599D360" w:rsidR="006E3CF7" w:rsidRPr="00332B88" w:rsidRDefault="00AB0D7E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Wykonawca</w:t>
      </w:r>
      <w:r w:rsidR="00066EDD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C97913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będzie przystępował do realizacji poszczególnych zadań</w:t>
      </w:r>
      <w:r w:rsidR="005117B6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dotyczących badań nieniszczących</w:t>
      </w:r>
      <w:r w:rsidR="00C97913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na zlecenie upoważnionego przedstawiciela Zamawiającego złożone z </w:t>
      </w:r>
      <w:r w:rsidR="0052207F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24</w:t>
      </w:r>
      <w:r w:rsidR="00034148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52207F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godzinnym </w:t>
      </w:r>
      <w:r w:rsidR="00034148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wyprzedzeniem – w formie pisemn</w:t>
      </w:r>
      <w:r w:rsidR="00027DFF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ej</w:t>
      </w:r>
      <w:r w:rsidR="00034148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telefonicznie. W sytuacjach nagłych, awaryjnych z wyprzedzeniem </w:t>
      </w:r>
      <w:r w:rsidR="0078259C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 </w:t>
      </w:r>
      <w:r w:rsidR="00034148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godzinnym.</w:t>
      </w:r>
    </w:p>
    <w:p w14:paraId="4C2A4599" w14:textId="294F01D6" w:rsidR="00F933E6" w:rsidRPr="00332B88" w:rsidRDefault="006E3CF7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Stanowisko do badań </w:t>
      </w:r>
      <w:r w:rsidR="005117B6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nieniszczących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zostanie udostępnione przez </w:t>
      </w:r>
      <w:r w:rsidR="00066EDD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Zamawiającego </w:t>
      </w:r>
      <w:r w:rsidR="00AB0D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(swobodny dostęp do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przedmiotu badań). W przypadku wykopów w razie potrzeby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 xml:space="preserve">odwodnienie wykopu po stronie </w:t>
      </w:r>
      <w:r w:rsidR="00066EDD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Zamawiającego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bez oświetlenia. Gdy zajdzie potrzeba budowy specjalnych podestów, rusztowań itp. </w:t>
      </w:r>
      <w:r w:rsidR="00027DFF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- po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027DFF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stronie </w:t>
      </w:r>
      <w:r w:rsidR="00066EDD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Zamawiającego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. </w:t>
      </w:r>
    </w:p>
    <w:p w14:paraId="0CBCD9EC" w14:textId="77777777" w:rsidR="000470A2" w:rsidRPr="00332B88" w:rsidRDefault="00C97913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przypadku pomiaru punktowego grubości ścianek w wyznaczonych punktach </w:t>
      </w:r>
      <w:r w:rsidR="00877EAC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pomiarowych w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cenę usługi należy wliczyć oczyszczenie punktu pomiarowego do badania i następnie po zakończeniu badania, zabezpieczenie przed korozją farbą podkładową.</w:t>
      </w:r>
    </w:p>
    <w:p w14:paraId="4400F652" w14:textId="77777777" w:rsidR="00877EAC" w:rsidRPr="00332B88" w:rsidRDefault="00877EAC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przypadku badań niszczących</w:t>
      </w:r>
      <w:r w:rsidR="009026EC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badań technologii spawania (WPQR)</w:t>
      </w:r>
      <w:r w:rsidR="00530838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realizacja nastąpi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na zlecenie </w:t>
      </w:r>
      <w:r w:rsidR="00CB263C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upoważnionego przedstawiciela Zamawiającego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formie pisemnym po wcześniejszym ustaleniu terminu.</w:t>
      </w:r>
    </w:p>
    <w:p w14:paraId="73F67B7B" w14:textId="77777777" w:rsidR="00CB263C" w:rsidRPr="00332B88" w:rsidRDefault="00CB263C" w:rsidP="00332B88">
      <w:pPr>
        <w:pStyle w:val="Akapitzlist"/>
        <w:spacing w:after="0" w:line="360" w:lineRule="auto"/>
        <w:ind w:left="993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69A5463F" w14:textId="137974E9" w:rsidR="00307E98" w:rsidRPr="00332B88" w:rsidRDefault="00307E98" w:rsidP="00332B88">
      <w:pPr>
        <w:pStyle w:val="Akapitzlist"/>
        <w:numPr>
          <w:ilvl w:val="0"/>
          <w:numId w:val="1"/>
        </w:num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bookmarkStart w:id="11" w:name="_Toc406060425"/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Zasady i sposób odbioru zamówienia</w:t>
      </w:r>
      <w:bookmarkEnd w:id="11"/>
      <w:r w:rsidR="00CB263C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</w:t>
      </w:r>
      <w:r w:rsidR="00103925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na badania</w:t>
      </w:r>
      <w:r w:rsidR="00CB263C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nieniszczące</w:t>
      </w:r>
      <w:r w:rsidR="00AE2C7F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i niszczące</w:t>
      </w:r>
    </w:p>
    <w:p w14:paraId="0484DB1F" w14:textId="2C7CE250" w:rsidR="00D83E06" w:rsidRPr="00332B88" w:rsidRDefault="00C97913" w:rsidP="00332B88">
      <w:pPr>
        <w:pStyle w:val="Akapitzlist"/>
        <w:numPr>
          <w:ilvl w:val="1"/>
          <w:numId w:val="1"/>
        </w:numPr>
        <w:spacing w:after="0" w:line="360" w:lineRule="auto"/>
        <w:ind w:left="1134" w:hanging="708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Wyniki badań będą przekazywane Z</w:t>
      </w:r>
      <w:r w:rsidR="00066EDD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amawiającemu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w ciągu 24 godzin </w:t>
      </w:r>
      <w:r w:rsidR="00AB0D7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od zakończenia badania </w:t>
      </w:r>
      <w:r w:rsidR="006C11C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w formie telefonicznej</w:t>
      </w:r>
      <w:r w:rsidR="00C55844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i mailowo</w:t>
      </w:r>
      <w:r w:rsidR="00AB0D7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, natomiast protokół w formie elektronicznej do 3 </w:t>
      </w:r>
      <w:r w:rsidR="006C11C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dni roboczych, a </w:t>
      </w:r>
      <w:r w:rsidR="00AB0D7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w formie papierowej - do </w:t>
      </w:r>
      <w:r w:rsidR="006C11CA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10 dni roboczych </w:t>
      </w:r>
      <w:r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(w przypadku badań radiograficznych radiogramy z opisem)</w:t>
      </w:r>
      <w:r w:rsidR="00F40333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.</w:t>
      </w:r>
      <w:r w:rsidR="00034148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 W sytuacjach nagłych, awaryjnych wyniki </w:t>
      </w:r>
      <w:r w:rsidR="00AB0D7E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 xml:space="preserve">będą </w:t>
      </w:r>
      <w:r w:rsidR="00034148" w:rsidRPr="00332B88"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  <w:t>podawane na bieżąco.</w:t>
      </w:r>
    </w:p>
    <w:p w14:paraId="0B70C4BB" w14:textId="77777777" w:rsidR="00796E22" w:rsidRPr="00332B88" w:rsidRDefault="00796E22" w:rsidP="00332B88">
      <w:pPr>
        <w:spacing w:after="0" w:line="360" w:lineRule="auto"/>
        <w:ind w:left="360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0037F44F" w14:textId="77777777" w:rsidR="00536683" w:rsidRPr="00332B88" w:rsidRDefault="00536683" w:rsidP="00332B88">
      <w:pPr>
        <w:pStyle w:val="Akapitzlist"/>
        <w:numPr>
          <w:ilvl w:val="0"/>
          <w:numId w:val="1"/>
        </w:num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  <w:bookmarkStart w:id="12" w:name="_Toc406060426"/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Rozpoczęcie p</w:t>
      </w:r>
      <w:r w:rsidR="00F92185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rac  </w:t>
      </w:r>
      <w:bookmarkEnd w:id="12"/>
    </w:p>
    <w:p w14:paraId="7DA41AEA" w14:textId="187F6E60" w:rsidR="00F933E6" w:rsidRPr="00332B88" w:rsidRDefault="0097444F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Warunkiem przystąpienia do prac jest uzyskanie przez Wykonawcę</w:t>
      </w:r>
      <w:r w:rsidR="00F933E6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AB0D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przeszkolenia i zapoznanie się </w:t>
      </w:r>
      <w:r w:rsidR="00F933E6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z zagrożeniami związanymi z pracą na </w:t>
      </w:r>
      <w:r w:rsidR="00AB0D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obiektach, poświadczone protoko</w:t>
      </w:r>
      <w:r w:rsidR="00F933E6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larnie</w:t>
      </w:r>
      <w:r w:rsidR="00AB0D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zgodnie z </w:t>
      </w:r>
      <w:r w:rsidR="0056364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Broszur</w:t>
      </w:r>
      <w:r w:rsidR="00613EE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ą</w:t>
      </w:r>
      <w:r w:rsidR="0056364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Informacyjną dla Wykonawców</w:t>
      </w:r>
      <w:r w:rsidR="005F217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</w:t>
      </w:r>
      <w:r w:rsidR="0056364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A6563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stanowiąc</w:t>
      </w:r>
      <w:r w:rsidR="00613EE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ą</w:t>
      </w:r>
      <w:r w:rsidR="00A6563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Załącznik nr </w:t>
      </w:r>
      <w:r w:rsidR="002C66B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 </w:t>
      </w:r>
      <w:r w:rsidR="00A6563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do OPZ</w:t>
      </w:r>
      <w:r w:rsidR="00F933E6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14:paraId="1BA98743" w14:textId="77777777" w:rsidR="0097444F" w:rsidRPr="00332B88" w:rsidRDefault="0097444F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Wszystkie zagadnienia związanie z pracami powinny być wykonywane w porozumieniu z osobami wskazanymi w umowie ze strony Zamawiającego.</w:t>
      </w:r>
    </w:p>
    <w:p w14:paraId="51B6C7C4" w14:textId="69CA01DA" w:rsidR="00C9315D" w:rsidRPr="00332B88" w:rsidRDefault="00C9315D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Za organizację i prowadzenie robót zapewniającą pełne bezpieczeństwo pracowników oraz ludzi znajdujących się w rejonach wykonywanych prac odpowiada Wykonawca.</w:t>
      </w:r>
      <w:r w:rsidR="00A96297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pobliżu miejsca prowadzenia robót nale</w:t>
      </w:r>
      <w:r w:rsidR="00AB0D7E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ży zgromadzić niezbędny sprzęt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wymagany przepisami ppoż. i BHP.</w:t>
      </w:r>
    </w:p>
    <w:p w14:paraId="51AFBB80" w14:textId="77777777" w:rsidR="00AA36B2" w:rsidRPr="00332B88" w:rsidRDefault="00AA36B2" w:rsidP="00332B88">
      <w:pPr>
        <w:pStyle w:val="Akapitzlist"/>
        <w:spacing w:after="0" w:line="360" w:lineRule="auto"/>
        <w:ind w:left="993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5DB90CEB" w14:textId="77777777" w:rsidR="00307E98" w:rsidRPr="00332B88" w:rsidRDefault="00307E98" w:rsidP="00332B88">
      <w:pPr>
        <w:pStyle w:val="Akapitzlist"/>
        <w:numPr>
          <w:ilvl w:val="0"/>
          <w:numId w:val="1"/>
        </w:num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bookmarkStart w:id="13" w:name="_Toc406060427"/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Informacja o procedurach SESP</w:t>
      </w:r>
      <w:bookmarkEnd w:id="13"/>
    </w:p>
    <w:p w14:paraId="1F317109" w14:textId="77777777" w:rsidR="00EE01A5" w:rsidRPr="00332B88" w:rsidRDefault="0097444F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Procedury i instrukcje Systemu Eksploatacji Sieci Przesyłowej (SESP), funkcjonujące u Zamawiającego</w:t>
      </w:r>
      <w:r w:rsidR="00EE01A5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obowiązujące </w:t>
      </w:r>
      <w:r w:rsidR="00224BE7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Wykonawcę: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</w:p>
    <w:p w14:paraId="46CA1BB1" w14:textId="0AE3FBAC" w:rsidR="001D0F0D" w:rsidRPr="00332B88" w:rsidRDefault="0056364F" w:rsidP="00332B88">
      <w:pPr>
        <w:numPr>
          <w:ilvl w:val="0"/>
          <w:numId w:val="5"/>
        </w:numPr>
        <w:spacing w:after="0" w:line="360" w:lineRule="auto"/>
        <w:ind w:left="1276"/>
        <w:contextualSpacing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P</w:t>
      </w:r>
      <w:r w:rsidR="0097444F" w:rsidRPr="00332B8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rocedur</w:t>
      </w:r>
      <w:r w:rsidR="00C740C0" w:rsidRPr="00332B8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a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r w:rsidR="00C740C0" w:rsidRPr="00332B8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P.02.O.02 Prace </w:t>
      </w:r>
      <w:proofErr w:type="spellStart"/>
      <w:r w:rsidR="00C740C0" w:rsidRPr="00332B8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gazoniebezpieczne</w:t>
      </w:r>
      <w:proofErr w:type="spellEnd"/>
      <w:r w:rsidR="00C740C0" w:rsidRPr="00332B8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i niebezpieczne.</w:t>
      </w:r>
    </w:p>
    <w:p w14:paraId="09973157" w14:textId="77777777" w:rsidR="00796E22" w:rsidRPr="00332B88" w:rsidRDefault="00796E22" w:rsidP="00332B88">
      <w:pPr>
        <w:spacing w:after="0" w:line="36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highlight w:val="yellow"/>
          <w:lang w:eastAsia="pl-PL"/>
        </w:rPr>
      </w:pPr>
    </w:p>
    <w:p w14:paraId="084C8B35" w14:textId="7F44AF75" w:rsidR="00F92185" w:rsidRPr="00332B88" w:rsidRDefault="00027DFF" w:rsidP="00332B88">
      <w:pPr>
        <w:pStyle w:val="Akapitzlist"/>
        <w:numPr>
          <w:ilvl w:val="0"/>
          <w:numId w:val="1"/>
        </w:num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bookmarkStart w:id="14" w:name="_Toc406060428"/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Dodatkowe wymagania dla </w:t>
      </w:r>
      <w:r w:rsidR="00F92185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Wykonawcy</w:t>
      </w:r>
      <w:bookmarkEnd w:id="14"/>
      <w:r w:rsidR="008C4563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wynikające z potrzeb i zobowiązań zamawiającego</w:t>
      </w:r>
    </w:p>
    <w:p w14:paraId="0CB7D1C1" w14:textId="77777777" w:rsidR="008A7AE4" w:rsidRPr="00A65631" w:rsidRDefault="008A7AE4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6563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Dla badań nieniszczących:</w:t>
      </w:r>
    </w:p>
    <w:p w14:paraId="7B85375C" w14:textId="16B6B46D" w:rsidR="00F40333" w:rsidRPr="00A65631" w:rsidRDefault="005F2176" w:rsidP="00332B88">
      <w:pPr>
        <w:pStyle w:val="Akapitzlist"/>
        <w:numPr>
          <w:ilvl w:val="0"/>
          <w:numId w:val="48"/>
        </w:numPr>
        <w:spacing w:after="0" w:line="360" w:lineRule="auto"/>
        <w:ind w:left="1418" w:hanging="425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bookmarkStart w:id="15" w:name="_Hlk482952636"/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>Aktualne świadectwo u</w:t>
      </w:r>
      <w:r w:rsidR="008A7AE4" w:rsidRPr="00A6563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znania Laboratorium wydane przez UDT potwierdzające zgodność z normą </w:t>
      </w: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PN-</w:t>
      </w:r>
      <w:r w:rsidR="00F40333" w:rsidRPr="00A6563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EN ISO/IEC 17025</w:t>
      </w:r>
      <w:bookmarkEnd w:id="15"/>
      <w:r w:rsidR="004358F6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równoważne</w:t>
      </w:r>
      <w:r w:rsidR="00F40333" w:rsidRPr="00A65631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14:paraId="40A9ACB9" w14:textId="7C373CC0" w:rsidR="00D83E06" w:rsidRPr="00332B88" w:rsidRDefault="00F40333" w:rsidP="00332B88">
      <w:pPr>
        <w:pStyle w:val="Akapitzlist"/>
        <w:numPr>
          <w:ilvl w:val="0"/>
          <w:numId w:val="48"/>
        </w:numPr>
        <w:spacing w:after="0" w:line="360" w:lineRule="auto"/>
        <w:ind w:left="1418" w:hanging="425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Personel musi posiadać kwalifikacje udokumentowane szkoleniem w zakresie RT, UT, </w:t>
      </w:r>
      <w:r w:rsidR="005D2BF4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MT,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PT, VT</w:t>
      </w:r>
      <w:r w:rsidR="00034148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UTT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dla każdej z metod badania i certyfikatami </w:t>
      </w:r>
      <w:r w:rsidR="001528A7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co najmniej drugiego stopnia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wg </w:t>
      </w:r>
      <w:r w:rsidR="0052207F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EN ISO 9712 (</w:t>
      </w:r>
      <w:r w:rsidR="00F920B1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lub</w:t>
      </w:r>
      <w:r w:rsidR="0052207F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PN-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EN 473</w:t>
      </w:r>
      <w:r w:rsidR="008C4563" w:rsidRPr="008C456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="008C456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lub równoważne</w:t>
      </w:r>
      <w:r w:rsidR="0052207F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)</w:t>
      </w:r>
      <w:r w:rsidR="008C456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równoważne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  <w:r w:rsidR="00593ED4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</w:p>
    <w:p w14:paraId="4854090D" w14:textId="5F0C78A4" w:rsidR="001528A7" w:rsidRPr="00332B88" w:rsidRDefault="001528A7" w:rsidP="00332B88">
      <w:pPr>
        <w:pStyle w:val="Akapitzlist"/>
        <w:numPr>
          <w:ilvl w:val="0"/>
          <w:numId w:val="48"/>
        </w:numPr>
        <w:spacing w:after="0" w:line="360" w:lineRule="auto"/>
        <w:ind w:left="1418" w:hanging="425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hAnsi="Century Gothic" w:cs="Arial"/>
          <w:sz w:val="20"/>
          <w:szCs w:val="20"/>
        </w:rPr>
        <w:t>Świadectwo kwalifikacyjne uprawnień energetycznych w grupie G3/E w zakresie pkt 4), 5), 6), 7), dla wykonawczego personelu badań NDT, wydane przez uprawnioną Komisję Kwalifikacyjną;</w:t>
      </w:r>
    </w:p>
    <w:p w14:paraId="5AEC1B60" w14:textId="77777777" w:rsidR="00841158" w:rsidRPr="00896BC5" w:rsidRDefault="009D097A" w:rsidP="00332B88">
      <w:pPr>
        <w:pStyle w:val="Akapitzlist"/>
        <w:numPr>
          <w:ilvl w:val="0"/>
          <w:numId w:val="48"/>
        </w:numPr>
        <w:spacing w:after="0" w:line="360" w:lineRule="auto"/>
        <w:ind w:left="1418" w:hanging="425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Co najmniej jedna osoba</w:t>
      </w:r>
      <w:r w:rsidR="00CB263C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w zespole badań NDT musi posiadać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ś</w:t>
      </w:r>
      <w:r w:rsidR="00841158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wiadectwo kwalifikacyjne uprawnień energetycznych w grupie G3/D </w:t>
      </w:r>
      <w:r w:rsidR="00CB263C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(dozorowe) </w:t>
      </w:r>
      <w:r w:rsidR="00841158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zakresie pkt. 4), 5), 6), 7), wydane przez up</w:t>
      </w:r>
      <w:r w:rsidR="00CB263C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rawnioną Komisję </w:t>
      </w:r>
      <w:r w:rsidR="00EE01A5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Kwalifikacyjną, a</w:t>
      </w:r>
      <w:r w:rsidR="00CB263C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pozostali w zespole muszą posiadać świadectwo kwalifikacyjne uprawnień energetycznych w grupie G3/E (eksploatacyjne) w zakresie pkt.  4), 5), 6), 7) wydane przez uprawnioną Komisję </w:t>
      </w:r>
      <w:r w:rsidR="00CB263C"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Kwalifikacyjną.</w:t>
      </w:r>
    </w:p>
    <w:p w14:paraId="25904B4A" w14:textId="77777777" w:rsidR="008A7AE4" w:rsidRPr="00896BC5" w:rsidRDefault="008A7AE4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Dla badań niszczących: </w:t>
      </w:r>
    </w:p>
    <w:p w14:paraId="2EE3220B" w14:textId="596B88F4" w:rsidR="00E61E8E" w:rsidRPr="00896BC5" w:rsidRDefault="0097115E" w:rsidP="00332B88">
      <w:pPr>
        <w:pStyle w:val="Akapitzlist"/>
        <w:numPr>
          <w:ilvl w:val="0"/>
          <w:numId w:val="49"/>
        </w:numPr>
        <w:spacing w:after="0" w:line="360" w:lineRule="auto"/>
        <w:ind w:left="1418" w:hanging="425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Wykonawca badań niszczących musi </w:t>
      </w:r>
      <w:bookmarkStart w:id="16" w:name="_Hlk482952682"/>
      <w:r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posiadać </w:t>
      </w:r>
      <w:bookmarkEnd w:id="16"/>
      <w:r w:rsidR="005F2176"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aktualne świadectwo uznania Laboratorium wydane przez UDT potwierdzające zgodność z normą PN-EN ISO/IEC 17025</w:t>
      </w:r>
      <w:r w:rsidR="008C4563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równoważne</w:t>
      </w:r>
      <w:r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  <w:r w:rsidR="0056364F"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– </w:t>
      </w:r>
      <w:r w:rsidR="00A1209E"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wzór załącznik nr </w:t>
      </w:r>
      <w:r w:rsidR="00C117F2" w:rsidRPr="00896BC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</w:t>
      </w:r>
    </w:p>
    <w:p w14:paraId="4C1E4164" w14:textId="77777777" w:rsidR="002C66B1" w:rsidRPr="00332B88" w:rsidRDefault="002C66B1" w:rsidP="00332B88">
      <w:pPr>
        <w:pStyle w:val="Akapitzlist"/>
        <w:spacing w:line="36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346DCA9A" w14:textId="77777777" w:rsidR="00AB4CD0" w:rsidRPr="00332B88" w:rsidRDefault="00AB4CD0" w:rsidP="00332B88">
      <w:pPr>
        <w:pStyle w:val="Akapitzlist"/>
        <w:numPr>
          <w:ilvl w:val="0"/>
          <w:numId w:val="1"/>
        </w:numPr>
        <w:spacing w:line="360" w:lineRule="auto"/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</w:pPr>
      <w:bookmarkStart w:id="17" w:name="_Toc406060430"/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>Ruch osobowo-materiałowy</w:t>
      </w:r>
      <w:r w:rsidR="00961BEF"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w przypadku prac na obiektach Tłoczni Gazu</w:t>
      </w:r>
      <w:r w:rsidRPr="00332B88">
        <w:rPr>
          <w:rFonts w:ascii="Century Gothic" w:eastAsia="Times New Roman" w:hAnsi="Century Gothic" w:cs="Times New Roman"/>
          <w:b/>
          <w:color w:val="000000"/>
          <w:sz w:val="20"/>
          <w:szCs w:val="20"/>
          <w:lang w:eastAsia="pl-PL"/>
        </w:rPr>
        <w:t xml:space="preserve"> </w:t>
      </w:r>
    </w:p>
    <w:bookmarkEnd w:id="17"/>
    <w:p w14:paraId="73023435" w14:textId="77777777" w:rsidR="00CB263C" w:rsidRPr="00332B88" w:rsidRDefault="00CB263C" w:rsidP="00332B88">
      <w:pPr>
        <w:pStyle w:val="Akapitzlist"/>
        <w:numPr>
          <w:ilvl w:val="1"/>
          <w:numId w:val="1"/>
        </w:numPr>
        <w:spacing w:after="0" w:line="360" w:lineRule="auto"/>
        <w:ind w:left="993" w:hanging="567"/>
        <w:jc w:val="both"/>
        <w:outlineLvl w:val="1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Wykonawca najpóźniej na 24 godziny przed rozpoczęciem prac powiadomi osobę wymienioną w umowie po stronie Zamawiającego z następującymi informacjami:</w:t>
      </w:r>
    </w:p>
    <w:p w14:paraId="3699D349" w14:textId="77777777" w:rsidR="00EE01A5" w:rsidRPr="00332B88" w:rsidRDefault="00CB263C" w:rsidP="00332B88">
      <w:pPr>
        <w:pStyle w:val="Akapitzlist"/>
        <w:numPr>
          <w:ilvl w:val="0"/>
          <w:numId w:val="45"/>
        </w:numPr>
        <w:spacing w:after="0" w:line="360" w:lineRule="auto"/>
        <w:ind w:left="1418"/>
        <w:jc w:val="both"/>
        <w:outlineLvl w:val="1"/>
        <w:rPr>
          <w:rFonts w:ascii="Century Gothic" w:hAnsi="Century Gothic"/>
          <w:b/>
          <w:sz w:val="20"/>
          <w:szCs w:val="20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Wykaz osób, które będą poruszać się po obiektach Zamawiającego w </w:t>
      </w:r>
      <w:r w:rsidR="00EE01A5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celu wykonania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umowy wraz </w:t>
      </w:r>
      <w:r w:rsidR="00EE01A5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 numerem dokumentu tożsamości,</w:t>
      </w:r>
    </w:p>
    <w:p w14:paraId="464B5F13" w14:textId="77777777" w:rsidR="00CB263C" w:rsidRPr="00332B88" w:rsidRDefault="00CB263C" w:rsidP="00332B88">
      <w:pPr>
        <w:pStyle w:val="Akapitzlist"/>
        <w:numPr>
          <w:ilvl w:val="0"/>
          <w:numId w:val="45"/>
        </w:numPr>
        <w:spacing w:after="0" w:line="360" w:lineRule="auto"/>
        <w:ind w:left="1418"/>
        <w:jc w:val="both"/>
        <w:outlineLvl w:val="1"/>
        <w:rPr>
          <w:rFonts w:ascii="Century Gothic" w:hAnsi="Century Gothic"/>
          <w:b/>
          <w:sz w:val="20"/>
          <w:szCs w:val="20"/>
        </w:rPr>
      </w:pP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Wykaz pojazdów z podanym modelem, numerem rejestracyjnym oraz </w:t>
      </w:r>
      <w:r w:rsidR="00EE01A5"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  </w:t>
      </w:r>
      <w:r w:rsidRPr="00332B88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imieniem i nazwiskiem wraz z numerem dokumentu tożsamości kierowcy.    </w:t>
      </w:r>
    </w:p>
    <w:p w14:paraId="548B47A6" w14:textId="7313FB4C" w:rsidR="00331850" w:rsidRPr="00332B88" w:rsidRDefault="00331850" w:rsidP="00332B88">
      <w:pPr>
        <w:spacing w:after="0" w:line="360" w:lineRule="auto"/>
        <w:jc w:val="both"/>
        <w:outlineLvl w:val="1"/>
        <w:rPr>
          <w:rFonts w:ascii="Century Gothic" w:hAnsi="Century Gothic"/>
          <w:b/>
          <w:sz w:val="20"/>
          <w:szCs w:val="20"/>
        </w:rPr>
      </w:pPr>
    </w:p>
    <w:p w14:paraId="609C9415" w14:textId="015C1768" w:rsidR="00026115" w:rsidRDefault="00026115" w:rsidP="00D54380">
      <w:pPr>
        <w:spacing w:after="0" w:line="360" w:lineRule="auto"/>
        <w:jc w:val="both"/>
        <w:outlineLvl w:val="1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Załączniki:</w:t>
      </w:r>
    </w:p>
    <w:p w14:paraId="4E201535" w14:textId="3B67B226" w:rsidR="00026115" w:rsidRDefault="00026115" w:rsidP="00D54380">
      <w:p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Cs/>
          <w:color w:val="000000"/>
          <w:lang w:eastAsia="pl-PL"/>
        </w:rPr>
      </w:pPr>
      <w:r>
        <w:rPr>
          <w:rFonts w:ascii="Century Gothic" w:eastAsia="Times New Roman" w:hAnsi="Century Gothic" w:cs="Times New Roman"/>
          <w:bCs/>
          <w:color w:val="000000"/>
          <w:lang w:eastAsia="pl-PL"/>
        </w:rPr>
        <w:t>Z</w:t>
      </w:r>
      <w:r w:rsidRPr="00F26671">
        <w:rPr>
          <w:rFonts w:ascii="Century Gothic" w:eastAsia="Times New Roman" w:hAnsi="Century Gothic" w:cs="Times New Roman"/>
          <w:bCs/>
          <w:color w:val="000000"/>
          <w:lang w:eastAsia="pl-PL"/>
        </w:rPr>
        <w:t>ałącznik nr 1</w:t>
      </w:r>
      <w:r>
        <w:rPr>
          <w:rFonts w:ascii="Century Gothic" w:eastAsia="Times New Roman" w:hAnsi="Century Gothic" w:cs="Times New Roman"/>
          <w:bCs/>
          <w:color w:val="000000"/>
          <w:lang w:eastAsia="pl-PL"/>
        </w:rPr>
        <w:t xml:space="preserve"> – </w:t>
      </w:r>
      <w:r w:rsidR="009A38BD">
        <w:rPr>
          <w:rFonts w:ascii="Century Gothic" w:eastAsia="Times New Roman" w:hAnsi="Century Gothic" w:cs="Times New Roman"/>
          <w:bCs/>
          <w:color w:val="000000"/>
          <w:lang w:eastAsia="pl-PL"/>
        </w:rPr>
        <w:t>Obszar działania oddziału w Rembelszczyźnie</w:t>
      </w:r>
      <w:r w:rsidR="00A65631">
        <w:rPr>
          <w:rFonts w:ascii="Century Gothic" w:eastAsia="Times New Roman" w:hAnsi="Century Gothic" w:cs="Times New Roman"/>
          <w:bCs/>
          <w:color w:val="000000"/>
          <w:lang w:eastAsia="pl-PL"/>
        </w:rPr>
        <w:t>,</w:t>
      </w:r>
    </w:p>
    <w:p w14:paraId="26C614EB" w14:textId="7AF5D367" w:rsidR="002C66B1" w:rsidRDefault="002C66B1" w:rsidP="002C66B1">
      <w:p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Cs/>
          <w:color w:val="000000"/>
          <w:lang w:eastAsia="pl-PL"/>
        </w:rPr>
      </w:pPr>
      <w:r>
        <w:rPr>
          <w:rFonts w:ascii="Century Gothic" w:eastAsia="Times New Roman" w:hAnsi="Century Gothic" w:cs="Times New Roman"/>
          <w:bCs/>
          <w:color w:val="000000"/>
          <w:lang w:eastAsia="pl-PL"/>
        </w:rPr>
        <w:t>Z</w:t>
      </w:r>
      <w:r w:rsidRPr="00F26671">
        <w:rPr>
          <w:rFonts w:ascii="Century Gothic" w:eastAsia="Times New Roman" w:hAnsi="Century Gothic" w:cs="Times New Roman"/>
          <w:bCs/>
          <w:color w:val="000000"/>
          <w:lang w:eastAsia="pl-PL"/>
        </w:rPr>
        <w:t xml:space="preserve">ałącznik nr </w:t>
      </w:r>
      <w:r>
        <w:rPr>
          <w:rFonts w:ascii="Century Gothic" w:eastAsia="Times New Roman" w:hAnsi="Century Gothic" w:cs="Times New Roman"/>
          <w:bCs/>
          <w:color w:val="000000"/>
          <w:lang w:eastAsia="pl-PL"/>
        </w:rPr>
        <w:t>2 – Szacunkowa ilość badań,</w:t>
      </w:r>
    </w:p>
    <w:p w14:paraId="46E1CB05" w14:textId="209DA9C7" w:rsidR="002C66B1" w:rsidRDefault="002C66B1" w:rsidP="002C66B1">
      <w:p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Cs/>
          <w:color w:val="000000"/>
          <w:lang w:eastAsia="pl-PL"/>
        </w:rPr>
      </w:pPr>
      <w:r>
        <w:rPr>
          <w:rFonts w:ascii="Century Gothic" w:eastAsia="Times New Roman" w:hAnsi="Century Gothic" w:cs="Times New Roman"/>
          <w:bCs/>
          <w:color w:val="000000"/>
          <w:lang w:eastAsia="pl-PL"/>
        </w:rPr>
        <w:t>Z</w:t>
      </w:r>
      <w:r w:rsidRPr="00F26671">
        <w:rPr>
          <w:rFonts w:ascii="Century Gothic" w:eastAsia="Times New Roman" w:hAnsi="Century Gothic" w:cs="Times New Roman"/>
          <w:bCs/>
          <w:color w:val="000000"/>
          <w:lang w:eastAsia="pl-PL"/>
        </w:rPr>
        <w:t xml:space="preserve">ałącznik nr </w:t>
      </w:r>
      <w:r>
        <w:rPr>
          <w:rFonts w:ascii="Century Gothic" w:eastAsia="Times New Roman" w:hAnsi="Century Gothic" w:cs="Times New Roman"/>
          <w:bCs/>
          <w:color w:val="000000"/>
          <w:lang w:eastAsia="pl-PL"/>
        </w:rPr>
        <w:t xml:space="preserve">3 – </w:t>
      </w:r>
      <w:r w:rsidR="009A38BD">
        <w:rPr>
          <w:rFonts w:ascii="Century Gothic" w:eastAsia="Times New Roman" w:hAnsi="Century Gothic" w:cs="Times New Roman"/>
          <w:bCs/>
          <w:color w:val="000000"/>
          <w:lang w:eastAsia="pl-PL"/>
        </w:rPr>
        <w:t>wzór świadectwa uznania laboratorium</w:t>
      </w:r>
    </w:p>
    <w:p w14:paraId="0672EFB2" w14:textId="77777777" w:rsidR="009A38BD" w:rsidRDefault="00C117F2" w:rsidP="009A38BD">
      <w:p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Cs/>
          <w:color w:val="000000"/>
          <w:lang w:eastAsia="pl-PL"/>
        </w:rPr>
      </w:pPr>
      <w:r>
        <w:rPr>
          <w:rFonts w:ascii="Century Gothic" w:eastAsia="Times New Roman" w:hAnsi="Century Gothic" w:cs="Times New Roman"/>
          <w:bCs/>
          <w:color w:val="000000"/>
          <w:lang w:eastAsia="pl-PL"/>
        </w:rPr>
        <w:t xml:space="preserve">Załącznik nr 4 – </w:t>
      </w:r>
      <w:r w:rsidR="009A38BD">
        <w:rPr>
          <w:rFonts w:ascii="Century Gothic" w:eastAsia="Times New Roman" w:hAnsi="Century Gothic" w:cs="Times New Roman"/>
          <w:bCs/>
          <w:color w:val="000000"/>
          <w:lang w:eastAsia="pl-PL"/>
        </w:rPr>
        <w:t>Broszura Informacyjna dla Wykonawców</w:t>
      </w:r>
    </w:p>
    <w:p w14:paraId="5B9C90E5" w14:textId="1505469F" w:rsidR="00C117F2" w:rsidRDefault="00C117F2" w:rsidP="002C66B1">
      <w:pPr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Cs/>
          <w:color w:val="000000"/>
          <w:lang w:eastAsia="pl-PL"/>
        </w:rPr>
      </w:pPr>
    </w:p>
    <w:sectPr w:rsidR="00C117F2" w:rsidSect="00BC312A">
      <w:footerReference w:type="default" r:id="rId9"/>
      <w:pgSz w:w="11906" w:h="16838" w:code="9"/>
      <w:pgMar w:top="1440" w:right="1083" w:bottom="1440" w:left="1083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4C88D" w14:textId="77777777" w:rsidR="00425672" w:rsidRDefault="00425672" w:rsidP="00237674">
      <w:pPr>
        <w:spacing w:after="0" w:line="240" w:lineRule="auto"/>
      </w:pPr>
      <w:r>
        <w:separator/>
      </w:r>
    </w:p>
  </w:endnote>
  <w:endnote w:type="continuationSeparator" w:id="0">
    <w:p w14:paraId="249926FC" w14:textId="77777777" w:rsidR="00425672" w:rsidRDefault="00425672" w:rsidP="0023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b/>
        <w:sz w:val="18"/>
        <w:szCs w:val="18"/>
      </w:rPr>
      <w:id w:val="72843425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b/>
            <w:sz w:val="18"/>
            <w:szCs w:val="18"/>
          </w:rPr>
          <w:id w:val="1220865047"/>
          <w:docPartObj>
            <w:docPartGallery w:val="Page Numbers (Top of Page)"/>
            <w:docPartUnique/>
          </w:docPartObj>
        </w:sdtPr>
        <w:sdtEndPr/>
        <w:sdtContent>
          <w:p w14:paraId="435E4F89" w14:textId="1D932B0E" w:rsidR="00331850" w:rsidRPr="00F26671" w:rsidRDefault="00331850" w:rsidP="00331850">
            <w:pPr>
              <w:pStyle w:val="Stopka"/>
              <w:spacing w:before="240"/>
              <w:ind w:right="360"/>
              <w:jc w:val="center"/>
              <w:rPr>
                <w:rFonts w:ascii="Century Gothic" w:eastAsia="Times New Roman" w:hAnsi="Century Gothic" w:cs="Times New Roman"/>
                <w:sz w:val="16"/>
                <w:szCs w:val="16"/>
                <w:lang w:val="x-none"/>
              </w:rPr>
            </w:pPr>
          </w:p>
          <w:p w14:paraId="2662AEE7" w14:textId="38A63652" w:rsidR="0068504D" w:rsidRPr="002C66B1" w:rsidRDefault="00331850" w:rsidP="0068504D">
            <w:pPr>
              <w:pStyle w:val="Stopka"/>
              <w:tabs>
                <w:tab w:val="clear" w:pos="4536"/>
                <w:tab w:val="clear" w:pos="9072"/>
                <w:tab w:val="left" w:pos="6720"/>
              </w:tabs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ab/>
            </w:r>
            <w:r>
              <w:rPr>
                <w:rFonts w:ascii="Century Gothic" w:hAnsi="Century Gothic"/>
                <w:b/>
                <w:sz w:val="18"/>
                <w:szCs w:val="18"/>
              </w:rPr>
              <w:tab/>
            </w:r>
            <w:r w:rsidRPr="002C66B1">
              <w:rPr>
                <w:rFonts w:ascii="Century Gothic" w:hAnsi="Century Gothic"/>
                <w:b/>
                <w:sz w:val="16"/>
                <w:szCs w:val="16"/>
              </w:rPr>
              <w:t xml:space="preserve">Strona </w:t>
            </w:r>
            <w:r w:rsidRPr="002C66B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2C66B1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2C66B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AE2C7F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5</w:t>
            </w:r>
            <w:r w:rsidRPr="002C66B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2C66B1">
              <w:rPr>
                <w:rFonts w:ascii="Century Gothic" w:hAnsi="Century Gothic"/>
                <w:b/>
                <w:sz w:val="16"/>
                <w:szCs w:val="16"/>
              </w:rPr>
              <w:t xml:space="preserve"> z </w:t>
            </w:r>
            <w:r w:rsidRPr="002C66B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2C66B1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2C66B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AE2C7F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5</w:t>
            </w:r>
            <w:r w:rsidRPr="002C66B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  <w:p w14:paraId="7D707FFE" w14:textId="10B5B80E" w:rsidR="0068504D" w:rsidRDefault="005A6F75" w:rsidP="0068504D">
            <w:pPr>
              <w:pStyle w:val="Stopka"/>
              <w:tabs>
                <w:tab w:val="clear" w:pos="4536"/>
                <w:tab w:val="clear" w:pos="9072"/>
                <w:tab w:val="left" w:pos="6720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sdtContent>
      </w:sdt>
    </w:sdtContent>
  </w:sdt>
  <w:p w14:paraId="448C9374" w14:textId="2466239A" w:rsidR="0068504D" w:rsidRPr="002C66B1" w:rsidRDefault="0068504D" w:rsidP="0068504D">
    <w:pPr>
      <w:pStyle w:val="Stopka"/>
      <w:tabs>
        <w:tab w:val="clear" w:pos="4536"/>
        <w:tab w:val="clear" w:pos="9072"/>
        <w:tab w:val="left" w:pos="6720"/>
      </w:tabs>
      <w:jc w:val="center"/>
      <w:rPr>
        <w:rFonts w:ascii="Century Gothic" w:hAnsi="Century Gothic"/>
        <w:sz w:val="16"/>
        <w:szCs w:val="16"/>
      </w:rPr>
    </w:pPr>
    <w:r w:rsidRPr="002C66B1">
      <w:rPr>
        <w:rFonts w:ascii="Century Gothic" w:hAnsi="Century Gothic"/>
        <w:sz w:val="16"/>
        <w:szCs w:val="16"/>
      </w:rPr>
      <w:t>„Świadczenie usług w zakresie wykonania badań nieniszczących/niszczących złączy spawanych gazociągów, innych urządzeń ciśnieniowych oraz badania w zakresie kwalifikowania technologii spawania</w:t>
    </w:r>
  </w:p>
  <w:p w14:paraId="086AB30E" w14:textId="1511A317" w:rsidR="00331850" w:rsidRPr="002C66B1" w:rsidRDefault="0068504D" w:rsidP="0068504D">
    <w:pPr>
      <w:pStyle w:val="Stopka"/>
      <w:tabs>
        <w:tab w:val="clear" w:pos="4536"/>
        <w:tab w:val="clear" w:pos="9072"/>
        <w:tab w:val="left" w:pos="6720"/>
      </w:tabs>
      <w:jc w:val="center"/>
      <w:rPr>
        <w:rFonts w:ascii="Century Gothic" w:hAnsi="Century Gothic"/>
        <w:b/>
        <w:sz w:val="16"/>
        <w:szCs w:val="16"/>
      </w:rPr>
    </w:pPr>
    <w:r w:rsidRPr="002C66B1">
      <w:rPr>
        <w:rFonts w:ascii="Century Gothic" w:hAnsi="Century Gothic"/>
        <w:sz w:val="16"/>
        <w:szCs w:val="16"/>
      </w:rPr>
      <w:t xml:space="preserve"> w GAZ-SYSTEM S.A. Oddział w Rembelszczyźnie”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E5FC3" w14:textId="77777777" w:rsidR="00425672" w:rsidRDefault="00425672" w:rsidP="00237674">
      <w:pPr>
        <w:spacing w:after="0" w:line="240" w:lineRule="auto"/>
      </w:pPr>
      <w:r>
        <w:separator/>
      </w:r>
    </w:p>
  </w:footnote>
  <w:footnote w:type="continuationSeparator" w:id="0">
    <w:p w14:paraId="46166425" w14:textId="77777777" w:rsidR="00425672" w:rsidRDefault="00425672" w:rsidP="00237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710"/>
    <w:multiLevelType w:val="hybridMultilevel"/>
    <w:tmpl w:val="C8FE33EA"/>
    <w:lvl w:ilvl="0" w:tplc="2CBA54DC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5D01D4"/>
    <w:multiLevelType w:val="multilevel"/>
    <w:tmpl w:val="98487754"/>
    <w:lvl w:ilvl="0">
      <w:start w:val="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5228B"/>
    <w:multiLevelType w:val="multilevel"/>
    <w:tmpl w:val="D6F29A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E65128"/>
    <w:multiLevelType w:val="hybridMultilevel"/>
    <w:tmpl w:val="A244B54A"/>
    <w:lvl w:ilvl="0" w:tplc="7B0AC1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EA08AD"/>
    <w:multiLevelType w:val="multilevel"/>
    <w:tmpl w:val="EA0461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75518B"/>
    <w:multiLevelType w:val="multilevel"/>
    <w:tmpl w:val="59BAB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A94182"/>
    <w:multiLevelType w:val="multilevel"/>
    <w:tmpl w:val="59BAB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597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C5603F"/>
    <w:multiLevelType w:val="multilevel"/>
    <w:tmpl w:val="9D00AAB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F741FB"/>
    <w:multiLevelType w:val="hybridMultilevel"/>
    <w:tmpl w:val="11CE4C4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634F3D"/>
    <w:multiLevelType w:val="multilevel"/>
    <w:tmpl w:val="5C744B16"/>
    <w:lvl w:ilvl="0">
      <w:start w:val="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5" w:hanging="705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1" w15:restartNumberingAfterBreak="0">
    <w:nsid w:val="18CE5B93"/>
    <w:multiLevelType w:val="hybridMultilevel"/>
    <w:tmpl w:val="9EE65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A0E8A"/>
    <w:multiLevelType w:val="hybridMultilevel"/>
    <w:tmpl w:val="DF242C18"/>
    <w:lvl w:ilvl="0" w:tplc="D3F28AE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9683D0A"/>
    <w:multiLevelType w:val="hybridMultilevel"/>
    <w:tmpl w:val="BFA24BE6"/>
    <w:lvl w:ilvl="0" w:tplc="4E8E18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067B3"/>
    <w:multiLevelType w:val="multilevel"/>
    <w:tmpl w:val="D7F091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2D03AC"/>
    <w:multiLevelType w:val="hybridMultilevel"/>
    <w:tmpl w:val="39643E2E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6" w15:restartNumberingAfterBreak="0">
    <w:nsid w:val="32D71854"/>
    <w:multiLevelType w:val="hybridMultilevel"/>
    <w:tmpl w:val="16EA8C1C"/>
    <w:lvl w:ilvl="0" w:tplc="C52A53BE">
      <w:start w:val="1"/>
      <w:numFmt w:val="lowerLetter"/>
      <w:lvlText w:val="%1)"/>
      <w:lvlJc w:val="left"/>
      <w:pPr>
        <w:ind w:left="1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0" w:hanging="360"/>
      </w:pPr>
    </w:lvl>
    <w:lvl w:ilvl="2" w:tplc="0415001B" w:tentative="1">
      <w:start w:val="1"/>
      <w:numFmt w:val="lowerRoman"/>
      <w:lvlText w:val="%3."/>
      <w:lvlJc w:val="right"/>
      <w:pPr>
        <w:ind w:left="2800" w:hanging="180"/>
      </w:pPr>
    </w:lvl>
    <w:lvl w:ilvl="3" w:tplc="0415000F" w:tentative="1">
      <w:start w:val="1"/>
      <w:numFmt w:val="decimal"/>
      <w:lvlText w:val="%4."/>
      <w:lvlJc w:val="left"/>
      <w:pPr>
        <w:ind w:left="3520" w:hanging="360"/>
      </w:pPr>
    </w:lvl>
    <w:lvl w:ilvl="4" w:tplc="04150019" w:tentative="1">
      <w:start w:val="1"/>
      <w:numFmt w:val="lowerLetter"/>
      <w:lvlText w:val="%5."/>
      <w:lvlJc w:val="left"/>
      <w:pPr>
        <w:ind w:left="4240" w:hanging="360"/>
      </w:pPr>
    </w:lvl>
    <w:lvl w:ilvl="5" w:tplc="0415001B" w:tentative="1">
      <w:start w:val="1"/>
      <w:numFmt w:val="lowerRoman"/>
      <w:lvlText w:val="%6."/>
      <w:lvlJc w:val="right"/>
      <w:pPr>
        <w:ind w:left="4960" w:hanging="180"/>
      </w:pPr>
    </w:lvl>
    <w:lvl w:ilvl="6" w:tplc="0415000F" w:tentative="1">
      <w:start w:val="1"/>
      <w:numFmt w:val="decimal"/>
      <w:lvlText w:val="%7."/>
      <w:lvlJc w:val="left"/>
      <w:pPr>
        <w:ind w:left="5680" w:hanging="360"/>
      </w:pPr>
    </w:lvl>
    <w:lvl w:ilvl="7" w:tplc="04150019" w:tentative="1">
      <w:start w:val="1"/>
      <w:numFmt w:val="lowerLetter"/>
      <w:lvlText w:val="%8."/>
      <w:lvlJc w:val="left"/>
      <w:pPr>
        <w:ind w:left="6400" w:hanging="360"/>
      </w:pPr>
    </w:lvl>
    <w:lvl w:ilvl="8" w:tplc="0415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7" w15:restartNumberingAfterBreak="0">
    <w:nsid w:val="34DF1088"/>
    <w:multiLevelType w:val="hybridMultilevel"/>
    <w:tmpl w:val="C464C8D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70F7490"/>
    <w:multiLevelType w:val="multilevel"/>
    <w:tmpl w:val="129AE3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AA168BD"/>
    <w:multiLevelType w:val="multilevel"/>
    <w:tmpl w:val="D7F091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2673B5"/>
    <w:multiLevelType w:val="hybridMultilevel"/>
    <w:tmpl w:val="805A5B20"/>
    <w:lvl w:ilvl="0" w:tplc="2CA65736">
      <w:start w:val="2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C21012">
      <w:start w:val="1"/>
      <w:numFmt w:val="lowerLetter"/>
      <w:lvlText w:val="%2)"/>
      <w:lvlJc w:val="left"/>
      <w:pPr>
        <w:ind w:left="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5C78C6">
      <w:start w:val="1"/>
      <w:numFmt w:val="lowerRoman"/>
      <w:lvlText w:val="%3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3095EC">
      <w:start w:val="1"/>
      <w:numFmt w:val="decimal"/>
      <w:lvlText w:val="%4"/>
      <w:lvlJc w:val="left"/>
      <w:pPr>
        <w:ind w:left="2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C2B370">
      <w:start w:val="1"/>
      <w:numFmt w:val="lowerLetter"/>
      <w:lvlText w:val="%5"/>
      <w:lvlJc w:val="left"/>
      <w:pPr>
        <w:ind w:left="2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02C8C0">
      <w:start w:val="1"/>
      <w:numFmt w:val="lowerRoman"/>
      <w:lvlText w:val="%6"/>
      <w:lvlJc w:val="left"/>
      <w:pPr>
        <w:ind w:left="3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36A89A">
      <w:start w:val="1"/>
      <w:numFmt w:val="decimal"/>
      <w:lvlText w:val="%7"/>
      <w:lvlJc w:val="left"/>
      <w:pPr>
        <w:ind w:left="4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EC1CB0">
      <w:start w:val="1"/>
      <w:numFmt w:val="lowerLetter"/>
      <w:lvlText w:val="%8"/>
      <w:lvlJc w:val="left"/>
      <w:pPr>
        <w:ind w:left="5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B8FB22">
      <w:start w:val="1"/>
      <w:numFmt w:val="lowerRoman"/>
      <w:lvlText w:val="%9"/>
      <w:lvlJc w:val="left"/>
      <w:pPr>
        <w:ind w:left="5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D8F5E78"/>
    <w:multiLevelType w:val="multilevel"/>
    <w:tmpl w:val="EE8E6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 w:val="0"/>
      </w:rPr>
    </w:lvl>
  </w:abstractNum>
  <w:abstractNum w:abstractNumId="22" w15:restartNumberingAfterBreak="0">
    <w:nsid w:val="3DFA6DB3"/>
    <w:multiLevelType w:val="hybridMultilevel"/>
    <w:tmpl w:val="89E00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07268"/>
    <w:multiLevelType w:val="hybridMultilevel"/>
    <w:tmpl w:val="68644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976F0"/>
    <w:multiLevelType w:val="hybridMultilevel"/>
    <w:tmpl w:val="04FA3BAA"/>
    <w:lvl w:ilvl="0" w:tplc="4CFE3826">
      <w:start w:val="1"/>
      <w:numFmt w:val="lowerLetter"/>
      <w:lvlText w:val="%1)"/>
      <w:lvlJc w:val="left"/>
      <w:pPr>
        <w:ind w:left="2058" w:hanging="360"/>
      </w:pPr>
      <w:rPr>
        <w:rFonts w:ascii="Century Gothic" w:eastAsia="Times New Roman" w:hAnsi="Century Gothic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778" w:hanging="360"/>
      </w:pPr>
    </w:lvl>
    <w:lvl w:ilvl="2" w:tplc="0415001B" w:tentative="1">
      <w:start w:val="1"/>
      <w:numFmt w:val="lowerRoman"/>
      <w:lvlText w:val="%3."/>
      <w:lvlJc w:val="right"/>
      <w:pPr>
        <w:ind w:left="3498" w:hanging="180"/>
      </w:pPr>
    </w:lvl>
    <w:lvl w:ilvl="3" w:tplc="0415000F" w:tentative="1">
      <w:start w:val="1"/>
      <w:numFmt w:val="decimal"/>
      <w:lvlText w:val="%4."/>
      <w:lvlJc w:val="left"/>
      <w:pPr>
        <w:ind w:left="4218" w:hanging="360"/>
      </w:pPr>
    </w:lvl>
    <w:lvl w:ilvl="4" w:tplc="04150019" w:tentative="1">
      <w:start w:val="1"/>
      <w:numFmt w:val="lowerLetter"/>
      <w:lvlText w:val="%5."/>
      <w:lvlJc w:val="left"/>
      <w:pPr>
        <w:ind w:left="4938" w:hanging="360"/>
      </w:pPr>
    </w:lvl>
    <w:lvl w:ilvl="5" w:tplc="0415001B" w:tentative="1">
      <w:start w:val="1"/>
      <w:numFmt w:val="lowerRoman"/>
      <w:lvlText w:val="%6."/>
      <w:lvlJc w:val="right"/>
      <w:pPr>
        <w:ind w:left="5658" w:hanging="180"/>
      </w:pPr>
    </w:lvl>
    <w:lvl w:ilvl="6" w:tplc="0415000F" w:tentative="1">
      <w:start w:val="1"/>
      <w:numFmt w:val="decimal"/>
      <w:lvlText w:val="%7."/>
      <w:lvlJc w:val="left"/>
      <w:pPr>
        <w:ind w:left="6378" w:hanging="360"/>
      </w:pPr>
    </w:lvl>
    <w:lvl w:ilvl="7" w:tplc="04150019" w:tentative="1">
      <w:start w:val="1"/>
      <w:numFmt w:val="lowerLetter"/>
      <w:lvlText w:val="%8."/>
      <w:lvlJc w:val="left"/>
      <w:pPr>
        <w:ind w:left="7098" w:hanging="360"/>
      </w:pPr>
    </w:lvl>
    <w:lvl w:ilvl="8" w:tplc="0415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25" w15:restartNumberingAfterBreak="0">
    <w:nsid w:val="45452554"/>
    <w:multiLevelType w:val="hybridMultilevel"/>
    <w:tmpl w:val="23AA87F0"/>
    <w:lvl w:ilvl="0" w:tplc="BF662F04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4B106071"/>
    <w:multiLevelType w:val="multilevel"/>
    <w:tmpl w:val="1174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623609"/>
    <w:multiLevelType w:val="multilevel"/>
    <w:tmpl w:val="66AAF65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504832CE"/>
    <w:multiLevelType w:val="multilevel"/>
    <w:tmpl w:val="F24267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636CE"/>
    <w:multiLevelType w:val="hybridMultilevel"/>
    <w:tmpl w:val="A718E20C"/>
    <w:lvl w:ilvl="0" w:tplc="09D48E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782086"/>
    <w:multiLevelType w:val="hybridMultilevel"/>
    <w:tmpl w:val="6B703A10"/>
    <w:lvl w:ilvl="0" w:tplc="D34C86FE">
      <w:start w:val="1"/>
      <w:numFmt w:val="lowerLetter"/>
      <w:lvlText w:val="%1)"/>
      <w:lvlJc w:val="left"/>
      <w:pPr>
        <w:ind w:left="2705" w:hanging="360"/>
      </w:pPr>
      <w:rPr>
        <w:rFonts w:ascii="Century Gothic" w:eastAsia="Times New Roman" w:hAnsi="Century Gothic" w:cs="Times New Roman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542854F2"/>
    <w:multiLevelType w:val="multilevel"/>
    <w:tmpl w:val="F522B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80"/>
        </w:tabs>
        <w:ind w:left="2592" w:hanging="432"/>
      </w:pPr>
      <w:rPr>
        <w:rFonts w:hint="default"/>
      </w:rPr>
    </w:lvl>
    <w:lvl w:ilvl="2">
      <w:start w:val="1"/>
      <w:numFmt w:val="decimal"/>
      <w:lvlText w:val="%1.5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2" w15:restartNumberingAfterBreak="0">
    <w:nsid w:val="544235D1"/>
    <w:multiLevelType w:val="hybridMultilevel"/>
    <w:tmpl w:val="2EC813E0"/>
    <w:lvl w:ilvl="0" w:tplc="8C121B78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 w15:restartNumberingAfterBreak="0">
    <w:nsid w:val="55876FF3"/>
    <w:multiLevelType w:val="hybridMultilevel"/>
    <w:tmpl w:val="72268DBA"/>
    <w:lvl w:ilvl="0" w:tplc="EFD0B3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5AE4C1E"/>
    <w:multiLevelType w:val="multilevel"/>
    <w:tmpl w:val="C058A4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553C08"/>
    <w:multiLevelType w:val="multilevel"/>
    <w:tmpl w:val="815C170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68A222D"/>
    <w:multiLevelType w:val="hybridMultilevel"/>
    <w:tmpl w:val="07886F5A"/>
    <w:lvl w:ilvl="0" w:tplc="E230E9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5AA52A6A"/>
    <w:multiLevelType w:val="hybridMultilevel"/>
    <w:tmpl w:val="C192B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1D2AB3"/>
    <w:multiLevelType w:val="hybridMultilevel"/>
    <w:tmpl w:val="BC104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670AA"/>
    <w:multiLevelType w:val="multilevel"/>
    <w:tmpl w:val="FB8A678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C5710AB"/>
    <w:multiLevelType w:val="hybridMultilevel"/>
    <w:tmpl w:val="674424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EA04F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F025D4A"/>
    <w:multiLevelType w:val="multilevel"/>
    <w:tmpl w:val="658E59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08739FB"/>
    <w:multiLevelType w:val="hybridMultilevel"/>
    <w:tmpl w:val="7004AF30"/>
    <w:lvl w:ilvl="0" w:tplc="70606B0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F5C40"/>
    <w:multiLevelType w:val="hybridMultilevel"/>
    <w:tmpl w:val="7C44B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2D4D51"/>
    <w:multiLevelType w:val="hybridMultilevel"/>
    <w:tmpl w:val="D3BA0846"/>
    <w:lvl w:ilvl="0" w:tplc="C5828B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619B1"/>
    <w:multiLevelType w:val="hybridMultilevel"/>
    <w:tmpl w:val="69DA3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25D96"/>
    <w:multiLevelType w:val="hybridMultilevel"/>
    <w:tmpl w:val="351E5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55A17"/>
    <w:multiLevelType w:val="hybridMultilevel"/>
    <w:tmpl w:val="FEB2AF3E"/>
    <w:lvl w:ilvl="0" w:tplc="B0F4F22A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78560012">
    <w:abstractNumId w:val="19"/>
  </w:num>
  <w:num w:numId="2" w16cid:durableId="1569463033">
    <w:abstractNumId w:val="8"/>
  </w:num>
  <w:num w:numId="3" w16cid:durableId="2074160609">
    <w:abstractNumId w:val="23"/>
  </w:num>
  <w:num w:numId="4" w16cid:durableId="369570924">
    <w:abstractNumId w:val="44"/>
  </w:num>
  <w:num w:numId="5" w16cid:durableId="718627631">
    <w:abstractNumId w:val="46"/>
  </w:num>
  <w:num w:numId="6" w16cid:durableId="1079789401">
    <w:abstractNumId w:val="41"/>
  </w:num>
  <w:num w:numId="7" w16cid:durableId="900991741">
    <w:abstractNumId w:val="39"/>
  </w:num>
  <w:num w:numId="8" w16cid:durableId="1115751389">
    <w:abstractNumId w:val="35"/>
  </w:num>
  <w:num w:numId="9" w16cid:durableId="1763648951">
    <w:abstractNumId w:val="18"/>
  </w:num>
  <w:num w:numId="10" w16cid:durableId="1808235846">
    <w:abstractNumId w:val="10"/>
  </w:num>
  <w:num w:numId="11" w16cid:durableId="1863547910">
    <w:abstractNumId w:val="1"/>
  </w:num>
  <w:num w:numId="12" w16cid:durableId="933854837">
    <w:abstractNumId w:val="2"/>
  </w:num>
  <w:num w:numId="13" w16cid:durableId="1456220219">
    <w:abstractNumId w:val="48"/>
  </w:num>
  <w:num w:numId="14" w16cid:durableId="1082795182">
    <w:abstractNumId w:val="0"/>
  </w:num>
  <w:num w:numId="15" w16cid:durableId="61955547">
    <w:abstractNumId w:val="11"/>
  </w:num>
  <w:num w:numId="16" w16cid:durableId="1484734398">
    <w:abstractNumId w:val="5"/>
  </w:num>
  <w:num w:numId="17" w16cid:durableId="701637767">
    <w:abstractNumId w:val="6"/>
  </w:num>
  <w:num w:numId="18" w16cid:durableId="90784814">
    <w:abstractNumId w:val="37"/>
  </w:num>
  <w:num w:numId="19" w16cid:durableId="1605770346">
    <w:abstractNumId w:val="38"/>
  </w:num>
  <w:num w:numId="20" w16cid:durableId="786700401">
    <w:abstractNumId w:val="31"/>
  </w:num>
  <w:num w:numId="21" w16cid:durableId="1322926392">
    <w:abstractNumId w:val="28"/>
  </w:num>
  <w:num w:numId="22" w16cid:durableId="1126237604">
    <w:abstractNumId w:val="15"/>
  </w:num>
  <w:num w:numId="23" w16cid:durableId="908660296">
    <w:abstractNumId w:val="7"/>
  </w:num>
  <w:num w:numId="24" w16cid:durableId="92633470">
    <w:abstractNumId w:val="14"/>
  </w:num>
  <w:num w:numId="25" w16cid:durableId="789667002">
    <w:abstractNumId w:val="30"/>
  </w:num>
  <w:num w:numId="26" w16cid:durableId="548077730">
    <w:abstractNumId w:val="40"/>
  </w:num>
  <w:num w:numId="27" w16cid:durableId="1008294443">
    <w:abstractNumId w:val="36"/>
  </w:num>
  <w:num w:numId="28" w16cid:durableId="2015108296">
    <w:abstractNumId w:val="47"/>
  </w:num>
  <w:num w:numId="29" w16cid:durableId="687029830">
    <w:abstractNumId w:val="3"/>
  </w:num>
  <w:num w:numId="30" w16cid:durableId="673532951">
    <w:abstractNumId w:val="43"/>
  </w:num>
  <w:num w:numId="31" w16cid:durableId="2065325881">
    <w:abstractNumId w:val="42"/>
  </w:num>
  <w:num w:numId="32" w16cid:durableId="164978741">
    <w:abstractNumId w:val="34"/>
  </w:num>
  <w:num w:numId="33" w16cid:durableId="399401750">
    <w:abstractNumId w:val="4"/>
  </w:num>
  <w:num w:numId="34" w16cid:durableId="203909179">
    <w:abstractNumId w:val="21"/>
  </w:num>
  <w:num w:numId="35" w16cid:durableId="346249526">
    <w:abstractNumId w:val="25"/>
  </w:num>
  <w:num w:numId="36" w16cid:durableId="386346541">
    <w:abstractNumId w:val="20"/>
  </w:num>
  <w:num w:numId="37" w16cid:durableId="1266307438">
    <w:abstractNumId w:val="33"/>
  </w:num>
  <w:num w:numId="38" w16cid:durableId="66417887">
    <w:abstractNumId w:val="26"/>
  </w:num>
  <w:num w:numId="39" w16cid:durableId="800610392">
    <w:abstractNumId w:val="22"/>
  </w:num>
  <w:num w:numId="40" w16cid:durableId="1667442883">
    <w:abstractNumId w:val="12"/>
  </w:num>
  <w:num w:numId="41" w16cid:durableId="1987198686">
    <w:abstractNumId w:val="16"/>
  </w:num>
  <w:num w:numId="42" w16cid:durableId="235633097">
    <w:abstractNumId w:val="29"/>
  </w:num>
  <w:num w:numId="43" w16cid:durableId="1562982043">
    <w:abstractNumId w:val="9"/>
  </w:num>
  <w:num w:numId="44" w16cid:durableId="569929132">
    <w:abstractNumId w:val="32"/>
  </w:num>
  <w:num w:numId="45" w16cid:durableId="993214956">
    <w:abstractNumId w:val="24"/>
  </w:num>
  <w:num w:numId="46" w16cid:durableId="1209491309">
    <w:abstractNumId w:val="27"/>
  </w:num>
  <w:num w:numId="47" w16cid:durableId="736512618">
    <w:abstractNumId w:val="17"/>
  </w:num>
  <w:num w:numId="48" w16cid:durableId="617226079">
    <w:abstractNumId w:val="45"/>
  </w:num>
  <w:num w:numId="49" w16cid:durableId="19080295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185"/>
    <w:rsid w:val="00026115"/>
    <w:rsid w:val="0002650D"/>
    <w:rsid w:val="00027DFF"/>
    <w:rsid w:val="00033E14"/>
    <w:rsid w:val="00034148"/>
    <w:rsid w:val="00045A63"/>
    <w:rsid w:val="00045F67"/>
    <w:rsid w:val="000470A2"/>
    <w:rsid w:val="000575F9"/>
    <w:rsid w:val="00066928"/>
    <w:rsid w:val="00066EDD"/>
    <w:rsid w:val="0007479A"/>
    <w:rsid w:val="00090C43"/>
    <w:rsid w:val="000969D5"/>
    <w:rsid w:val="000A0BD7"/>
    <w:rsid w:val="000A2378"/>
    <w:rsid w:val="000A411F"/>
    <w:rsid w:val="000A5732"/>
    <w:rsid w:val="000B64C1"/>
    <w:rsid w:val="000C3FB4"/>
    <w:rsid w:val="000D1EB4"/>
    <w:rsid w:val="000F49C9"/>
    <w:rsid w:val="00101804"/>
    <w:rsid w:val="00103925"/>
    <w:rsid w:val="00105F04"/>
    <w:rsid w:val="001128FD"/>
    <w:rsid w:val="00125ECA"/>
    <w:rsid w:val="0012611E"/>
    <w:rsid w:val="00127B22"/>
    <w:rsid w:val="001432C9"/>
    <w:rsid w:val="001528A7"/>
    <w:rsid w:val="0015628C"/>
    <w:rsid w:val="00156FC2"/>
    <w:rsid w:val="00164ED3"/>
    <w:rsid w:val="001653D7"/>
    <w:rsid w:val="0017609C"/>
    <w:rsid w:val="00184E53"/>
    <w:rsid w:val="001879C9"/>
    <w:rsid w:val="00195A07"/>
    <w:rsid w:val="001A630E"/>
    <w:rsid w:val="001A6AF2"/>
    <w:rsid w:val="001B04EC"/>
    <w:rsid w:val="001B33FA"/>
    <w:rsid w:val="001C28C4"/>
    <w:rsid w:val="001C3652"/>
    <w:rsid w:val="001D0F0D"/>
    <w:rsid w:val="001E0688"/>
    <w:rsid w:val="00202E3B"/>
    <w:rsid w:val="00224BE7"/>
    <w:rsid w:val="0022656B"/>
    <w:rsid w:val="00233F88"/>
    <w:rsid w:val="002360C3"/>
    <w:rsid w:val="00237674"/>
    <w:rsid w:val="0024470F"/>
    <w:rsid w:val="0024682C"/>
    <w:rsid w:val="00246AC8"/>
    <w:rsid w:val="002507FF"/>
    <w:rsid w:val="0025390E"/>
    <w:rsid w:val="002634E0"/>
    <w:rsid w:val="00264B3E"/>
    <w:rsid w:val="00264BFE"/>
    <w:rsid w:val="00273181"/>
    <w:rsid w:val="002744FA"/>
    <w:rsid w:val="00293105"/>
    <w:rsid w:val="0029398D"/>
    <w:rsid w:val="002A63CC"/>
    <w:rsid w:val="002B78EC"/>
    <w:rsid w:val="002C044D"/>
    <w:rsid w:val="002C0AC7"/>
    <w:rsid w:val="002C5E0B"/>
    <w:rsid w:val="002C66B1"/>
    <w:rsid w:val="002D0307"/>
    <w:rsid w:val="002D0603"/>
    <w:rsid w:val="002E1033"/>
    <w:rsid w:val="002F1C0A"/>
    <w:rsid w:val="00307E98"/>
    <w:rsid w:val="00331850"/>
    <w:rsid w:val="00332596"/>
    <w:rsid w:val="00332B88"/>
    <w:rsid w:val="003359D7"/>
    <w:rsid w:val="00353067"/>
    <w:rsid w:val="003638C9"/>
    <w:rsid w:val="00375449"/>
    <w:rsid w:val="003A06ED"/>
    <w:rsid w:val="003A6D11"/>
    <w:rsid w:val="003C0AF3"/>
    <w:rsid w:val="003C118C"/>
    <w:rsid w:val="003D0A06"/>
    <w:rsid w:val="003D394D"/>
    <w:rsid w:val="003E1DF2"/>
    <w:rsid w:val="003E62FD"/>
    <w:rsid w:val="003F4875"/>
    <w:rsid w:val="003F7004"/>
    <w:rsid w:val="0040650C"/>
    <w:rsid w:val="00425672"/>
    <w:rsid w:val="004358F6"/>
    <w:rsid w:val="00456A98"/>
    <w:rsid w:val="00463350"/>
    <w:rsid w:val="004743A3"/>
    <w:rsid w:val="0049238A"/>
    <w:rsid w:val="00493CBE"/>
    <w:rsid w:val="004A47FC"/>
    <w:rsid w:val="004E499F"/>
    <w:rsid w:val="004F3107"/>
    <w:rsid w:val="005079F2"/>
    <w:rsid w:val="005117B6"/>
    <w:rsid w:val="005140C0"/>
    <w:rsid w:val="0052207F"/>
    <w:rsid w:val="00530838"/>
    <w:rsid w:val="00536683"/>
    <w:rsid w:val="00547661"/>
    <w:rsid w:val="0056364F"/>
    <w:rsid w:val="00575E55"/>
    <w:rsid w:val="00580C48"/>
    <w:rsid w:val="0058315B"/>
    <w:rsid w:val="005926C5"/>
    <w:rsid w:val="00593ED4"/>
    <w:rsid w:val="005A0811"/>
    <w:rsid w:val="005A0E69"/>
    <w:rsid w:val="005A3661"/>
    <w:rsid w:val="005A6F75"/>
    <w:rsid w:val="005B13C8"/>
    <w:rsid w:val="005C23A0"/>
    <w:rsid w:val="005C73F9"/>
    <w:rsid w:val="005D1E2F"/>
    <w:rsid w:val="005D2BF4"/>
    <w:rsid w:val="005E4116"/>
    <w:rsid w:val="005F13FA"/>
    <w:rsid w:val="005F2176"/>
    <w:rsid w:val="00603AE6"/>
    <w:rsid w:val="00613EEC"/>
    <w:rsid w:val="0061530D"/>
    <w:rsid w:val="00623051"/>
    <w:rsid w:val="00642844"/>
    <w:rsid w:val="00653DAB"/>
    <w:rsid w:val="006570A9"/>
    <w:rsid w:val="006809C5"/>
    <w:rsid w:val="006819F9"/>
    <w:rsid w:val="0068504D"/>
    <w:rsid w:val="00686399"/>
    <w:rsid w:val="006B6BDA"/>
    <w:rsid w:val="006C11CA"/>
    <w:rsid w:val="006E3CF7"/>
    <w:rsid w:val="006F16EB"/>
    <w:rsid w:val="007128A1"/>
    <w:rsid w:val="00715961"/>
    <w:rsid w:val="00741C47"/>
    <w:rsid w:val="00742BAC"/>
    <w:rsid w:val="00753404"/>
    <w:rsid w:val="00757D30"/>
    <w:rsid w:val="007813B8"/>
    <w:rsid w:val="0078259C"/>
    <w:rsid w:val="0078584A"/>
    <w:rsid w:val="007903A9"/>
    <w:rsid w:val="00796E22"/>
    <w:rsid w:val="00796FC5"/>
    <w:rsid w:val="007A05F0"/>
    <w:rsid w:val="007A102A"/>
    <w:rsid w:val="007A6BA2"/>
    <w:rsid w:val="007B670D"/>
    <w:rsid w:val="007C00FB"/>
    <w:rsid w:val="007C1A85"/>
    <w:rsid w:val="007C249C"/>
    <w:rsid w:val="007C34C6"/>
    <w:rsid w:val="007C69A0"/>
    <w:rsid w:val="007C6FEA"/>
    <w:rsid w:val="007D15F7"/>
    <w:rsid w:val="007D7280"/>
    <w:rsid w:val="007E08DA"/>
    <w:rsid w:val="007E0A45"/>
    <w:rsid w:val="007E4DF6"/>
    <w:rsid w:val="007F3A6A"/>
    <w:rsid w:val="007F7577"/>
    <w:rsid w:val="00837A1C"/>
    <w:rsid w:val="00841158"/>
    <w:rsid w:val="00857D5E"/>
    <w:rsid w:val="00862F87"/>
    <w:rsid w:val="00863D9E"/>
    <w:rsid w:val="00874D56"/>
    <w:rsid w:val="00877EAC"/>
    <w:rsid w:val="00895EF1"/>
    <w:rsid w:val="00896BC5"/>
    <w:rsid w:val="0089744B"/>
    <w:rsid w:val="00897536"/>
    <w:rsid w:val="008A1A79"/>
    <w:rsid w:val="008A7986"/>
    <w:rsid w:val="008A7AE4"/>
    <w:rsid w:val="008C2DEC"/>
    <w:rsid w:val="008C4563"/>
    <w:rsid w:val="008C74C6"/>
    <w:rsid w:val="008E16E1"/>
    <w:rsid w:val="008E59A0"/>
    <w:rsid w:val="008F1A3E"/>
    <w:rsid w:val="008F4BEF"/>
    <w:rsid w:val="009026EC"/>
    <w:rsid w:val="00905E79"/>
    <w:rsid w:val="00916C0E"/>
    <w:rsid w:val="00917529"/>
    <w:rsid w:val="00920081"/>
    <w:rsid w:val="0092268C"/>
    <w:rsid w:val="00926409"/>
    <w:rsid w:val="00932481"/>
    <w:rsid w:val="0093368E"/>
    <w:rsid w:val="00954CE5"/>
    <w:rsid w:val="00961BEF"/>
    <w:rsid w:val="00963655"/>
    <w:rsid w:val="009707FD"/>
    <w:rsid w:val="0097115E"/>
    <w:rsid w:val="0097444F"/>
    <w:rsid w:val="00976B27"/>
    <w:rsid w:val="00996CDF"/>
    <w:rsid w:val="009972FD"/>
    <w:rsid w:val="009A38BD"/>
    <w:rsid w:val="009B4DAB"/>
    <w:rsid w:val="009D097A"/>
    <w:rsid w:val="009D1A20"/>
    <w:rsid w:val="009E7597"/>
    <w:rsid w:val="009F63B0"/>
    <w:rsid w:val="00A1209E"/>
    <w:rsid w:val="00A135BA"/>
    <w:rsid w:val="00A20C85"/>
    <w:rsid w:val="00A23908"/>
    <w:rsid w:val="00A23E41"/>
    <w:rsid w:val="00A61787"/>
    <w:rsid w:val="00A62BEA"/>
    <w:rsid w:val="00A65631"/>
    <w:rsid w:val="00A852F1"/>
    <w:rsid w:val="00A8590A"/>
    <w:rsid w:val="00A9592D"/>
    <w:rsid w:val="00A96297"/>
    <w:rsid w:val="00AA36B2"/>
    <w:rsid w:val="00AB0D7E"/>
    <w:rsid w:val="00AB4CD0"/>
    <w:rsid w:val="00AE2C7F"/>
    <w:rsid w:val="00AF4F33"/>
    <w:rsid w:val="00B007CB"/>
    <w:rsid w:val="00B07190"/>
    <w:rsid w:val="00B142B6"/>
    <w:rsid w:val="00B14E7A"/>
    <w:rsid w:val="00B16375"/>
    <w:rsid w:val="00B26B66"/>
    <w:rsid w:val="00B33C8F"/>
    <w:rsid w:val="00B33EC5"/>
    <w:rsid w:val="00B4717B"/>
    <w:rsid w:val="00B53839"/>
    <w:rsid w:val="00B61E3B"/>
    <w:rsid w:val="00B67684"/>
    <w:rsid w:val="00B800A9"/>
    <w:rsid w:val="00B92C06"/>
    <w:rsid w:val="00BB6396"/>
    <w:rsid w:val="00BB63E9"/>
    <w:rsid w:val="00BC312A"/>
    <w:rsid w:val="00BC3E87"/>
    <w:rsid w:val="00BC5782"/>
    <w:rsid w:val="00BE4A7F"/>
    <w:rsid w:val="00BF218D"/>
    <w:rsid w:val="00C1138F"/>
    <w:rsid w:val="00C117F2"/>
    <w:rsid w:val="00C244D6"/>
    <w:rsid w:val="00C40BA9"/>
    <w:rsid w:val="00C51C49"/>
    <w:rsid w:val="00C55844"/>
    <w:rsid w:val="00C66DA6"/>
    <w:rsid w:val="00C740C0"/>
    <w:rsid w:val="00C76335"/>
    <w:rsid w:val="00C867C0"/>
    <w:rsid w:val="00C90819"/>
    <w:rsid w:val="00C9131E"/>
    <w:rsid w:val="00C9315D"/>
    <w:rsid w:val="00C97913"/>
    <w:rsid w:val="00CB1DE9"/>
    <w:rsid w:val="00CB2515"/>
    <w:rsid w:val="00CB263C"/>
    <w:rsid w:val="00CB6611"/>
    <w:rsid w:val="00CC375A"/>
    <w:rsid w:val="00CD3964"/>
    <w:rsid w:val="00CD4C9B"/>
    <w:rsid w:val="00CE39A8"/>
    <w:rsid w:val="00CE3A4D"/>
    <w:rsid w:val="00D03E0C"/>
    <w:rsid w:val="00D26937"/>
    <w:rsid w:val="00D3122F"/>
    <w:rsid w:val="00D35E04"/>
    <w:rsid w:val="00D401F3"/>
    <w:rsid w:val="00D47437"/>
    <w:rsid w:val="00D477AE"/>
    <w:rsid w:val="00D54380"/>
    <w:rsid w:val="00D74480"/>
    <w:rsid w:val="00D7716B"/>
    <w:rsid w:val="00D814E2"/>
    <w:rsid w:val="00D83E06"/>
    <w:rsid w:val="00D8447B"/>
    <w:rsid w:val="00DB3011"/>
    <w:rsid w:val="00DD2EAA"/>
    <w:rsid w:val="00DE025F"/>
    <w:rsid w:val="00DF4396"/>
    <w:rsid w:val="00DF6FEA"/>
    <w:rsid w:val="00E00E72"/>
    <w:rsid w:val="00E24C7F"/>
    <w:rsid w:val="00E61E8E"/>
    <w:rsid w:val="00E73E3D"/>
    <w:rsid w:val="00E841F3"/>
    <w:rsid w:val="00E910D0"/>
    <w:rsid w:val="00E958C4"/>
    <w:rsid w:val="00EA4040"/>
    <w:rsid w:val="00EA6B70"/>
    <w:rsid w:val="00EA7B88"/>
    <w:rsid w:val="00EB20F7"/>
    <w:rsid w:val="00ED688D"/>
    <w:rsid w:val="00ED6E82"/>
    <w:rsid w:val="00EE01A5"/>
    <w:rsid w:val="00EE2BE6"/>
    <w:rsid w:val="00EE3156"/>
    <w:rsid w:val="00EF2D93"/>
    <w:rsid w:val="00EF7E57"/>
    <w:rsid w:val="00F01F03"/>
    <w:rsid w:val="00F02400"/>
    <w:rsid w:val="00F0504F"/>
    <w:rsid w:val="00F12C1C"/>
    <w:rsid w:val="00F21380"/>
    <w:rsid w:val="00F2293F"/>
    <w:rsid w:val="00F2308F"/>
    <w:rsid w:val="00F25344"/>
    <w:rsid w:val="00F26671"/>
    <w:rsid w:val="00F40333"/>
    <w:rsid w:val="00F450A7"/>
    <w:rsid w:val="00F4617F"/>
    <w:rsid w:val="00F463E6"/>
    <w:rsid w:val="00F61D27"/>
    <w:rsid w:val="00F87CF6"/>
    <w:rsid w:val="00F920B1"/>
    <w:rsid w:val="00F92185"/>
    <w:rsid w:val="00F933E6"/>
    <w:rsid w:val="00F979BE"/>
    <w:rsid w:val="00FA46AF"/>
    <w:rsid w:val="00FA75EA"/>
    <w:rsid w:val="00FB0F56"/>
    <w:rsid w:val="00FB10D0"/>
    <w:rsid w:val="00FB44EA"/>
    <w:rsid w:val="00FB7BD9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D87747F"/>
  <w15:docId w15:val="{6E5371A0-DFE7-48F4-B101-42602B0B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3E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921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93E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3ED4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93ED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2268C"/>
    <w:pPr>
      <w:tabs>
        <w:tab w:val="left" w:pos="851"/>
        <w:tab w:val="right" w:leader="dot" w:pos="9062"/>
      </w:tabs>
      <w:spacing w:after="100"/>
      <w:ind w:left="851" w:hanging="631"/>
    </w:pPr>
  </w:style>
  <w:style w:type="character" w:styleId="Hipercze">
    <w:name w:val="Hyperlink"/>
    <w:basedOn w:val="Domylnaczcionkaakapitu"/>
    <w:uiPriority w:val="99"/>
    <w:unhideWhenUsed/>
    <w:rsid w:val="00593ED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ED4"/>
    <w:rPr>
      <w:rFonts w:ascii="Tahoma" w:hAnsi="Tahoma" w:cs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593ED4"/>
    <w:pPr>
      <w:spacing w:after="100"/>
      <w:ind w:left="440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674"/>
  </w:style>
  <w:style w:type="paragraph" w:styleId="Stopka">
    <w:name w:val="footer"/>
    <w:basedOn w:val="Normalny"/>
    <w:link w:val="StopkaZnak"/>
    <w:uiPriority w:val="99"/>
    <w:unhideWhenUsed/>
    <w:rsid w:val="0023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674"/>
  </w:style>
  <w:style w:type="character" w:styleId="Odwoaniedokomentarza">
    <w:name w:val="annotation reference"/>
    <w:basedOn w:val="Domylnaczcionkaakapitu"/>
    <w:uiPriority w:val="99"/>
    <w:semiHidden/>
    <w:unhideWhenUsed/>
    <w:rsid w:val="000A41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1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1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1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11F"/>
    <w:rPr>
      <w:b/>
      <w:bCs/>
      <w:sz w:val="20"/>
      <w:szCs w:val="20"/>
    </w:rPr>
  </w:style>
  <w:style w:type="table" w:styleId="Tabela-Siatka">
    <w:name w:val="Table Grid"/>
    <w:basedOn w:val="Standardowy"/>
    <w:rsid w:val="0029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F49C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rsid w:val="00897536"/>
    <w:pPr>
      <w:tabs>
        <w:tab w:val="left" w:pos="0"/>
      </w:tabs>
      <w:spacing w:after="0" w:line="360" w:lineRule="auto"/>
      <w:ind w:left="705" w:hanging="525"/>
      <w:jc w:val="both"/>
    </w:pPr>
    <w:rPr>
      <w:rFonts w:ascii="Century Schoolbook" w:eastAsia="Times New Roman" w:hAnsi="Century Schoolbook" w:cs="Times New Roman"/>
      <w:iCs/>
      <w:sz w:val="26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97536"/>
    <w:rPr>
      <w:rFonts w:ascii="Century Schoolbook" w:eastAsia="Times New Roman" w:hAnsi="Century Schoolbook" w:cs="Times New Roman"/>
      <w:iCs/>
      <w:sz w:val="26"/>
      <w:szCs w:val="26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528A7"/>
  </w:style>
  <w:style w:type="paragraph" w:styleId="Bezodstpw">
    <w:name w:val="No Spacing"/>
    <w:link w:val="BezodstpwZnak"/>
    <w:uiPriority w:val="1"/>
    <w:qFormat/>
    <w:rsid w:val="00BC312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312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6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928391847749E3B2EB8610CE8803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77082A-D2E0-4F83-982D-E857E27868C9}"/>
      </w:docPartPr>
      <w:docPartBody>
        <w:p w:rsidR="00D47CA9" w:rsidRDefault="00C13E63" w:rsidP="00C13E63">
          <w:pPr>
            <w:pStyle w:val="38928391847749E3B2EB8610CE880397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[Tytuł dokumentu]</w:t>
          </w:r>
        </w:p>
      </w:docPartBody>
    </w:docPart>
    <w:docPart>
      <w:docPartPr>
        <w:name w:val="0F3B1B70B2074661A29E92D7548117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1E3044-0089-4B6E-9030-6CF3613F7425}"/>
      </w:docPartPr>
      <w:docPartBody>
        <w:p w:rsidR="00D47CA9" w:rsidRDefault="00C13E63" w:rsidP="00C13E63">
          <w:pPr>
            <w:pStyle w:val="0F3B1B70B2074661A29E92D75481174D"/>
          </w:pPr>
          <w:r>
            <w:rPr>
              <w:color w:val="2F5496" w:themeColor="accent1" w:themeShade="BF"/>
              <w:sz w:val="24"/>
              <w:szCs w:val="24"/>
            </w:rPr>
            <w:t>[Podtytuł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E63"/>
    <w:rsid w:val="001E28EB"/>
    <w:rsid w:val="001F02DF"/>
    <w:rsid w:val="001F45F9"/>
    <w:rsid w:val="002C0E41"/>
    <w:rsid w:val="003F511D"/>
    <w:rsid w:val="007925B4"/>
    <w:rsid w:val="00C13E63"/>
    <w:rsid w:val="00C770A4"/>
    <w:rsid w:val="00D4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8928391847749E3B2EB8610CE880397">
    <w:name w:val="38928391847749E3B2EB8610CE880397"/>
    <w:rsid w:val="00C13E63"/>
  </w:style>
  <w:style w:type="paragraph" w:customStyle="1" w:styleId="0F3B1B70B2074661A29E92D75481174D">
    <w:name w:val="0F3B1B70B2074661A29E92D75481174D"/>
    <w:rsid w:val="00C13E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2017-02-08T00:00:00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7DEFA9-25BB-49DC-A38C-ADDE3A9E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1438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„Świadczenie usług w zakresie wykonania badań nieniszczących/niszczących złączy spawanych gazociągów, innych urządzeń ciśnieniowych oraz badania w zakresie kwalifikowania technologii spawania na terenie działania Operatora Gazociągów Przesyłowych GAZ-SYSTEM S.A. Oddział w Rembelszczyźnie”</dc:subject>
  <dc:creator>Paweł Perekitko</dc:creator>
  <cp:lastModifiedBy>Kępińska Danuta</cp:lastModifiedBy>
  <cp:revision>1</cp:revision>
  <cp:lastPrinted>2017-03-03T06:59:00Z</cp:lastPrinted>
  <dcterms:created xsi:type="dcterms:W3CDTF">2019-09-12T12:58:00Z</dcterms:created>
  <dcterms:modified xsi:type="dcterms:W3CDTF">2023-01-26T14:08:00Z</dcterms:modified>
</cp:coreProperties>
</file>