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684D7241"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001877B6">
        <w:rPr>
          <w:rFonts w:ascii="Century Gothic" w:hAnsi="Century Gothic"/>
          <w:sz w:val="20"/>
          <w:szCs w:val="20"/>
        </w:rPr>
        <w:t>7</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2D27C639"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69EC4056" w14:textId="77777777" w:rsidR="005D768D" w:rsidRPr="007C3FDF" w:rsidRDefault="005D768D" w:rsidP="005D768D">
            <w:pPr>
              <w:jc w:val="both"/>
              <w:rPr>
                <w:rFonts w:ascii="Century Gothic" w:hAnsi="Century Gothic"/>
                <w:sz w:val="20"/>
                <w:szCs w:val="20"/>
              </w:rPr>
            </w:pP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822D27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All Risks co oznacza, że Ubezpieczyciel odpowiada za Szkody w ubezpieczonym Mieniu powstałe w okresie ubezpieczenia, jeżeli </w:t>
            </w:r>
            <w:r w:rsidRPr="007C3FDF">
              <w:rPr>
                <w:rFonts w:ascii="Century Gothic" w:hAnsi="Century Gothic"/>
                <w:sz w:val="20"/>
                <w:szCs w:val="20"/>
              </w:rPr>
              <w:lastRenderedPageBreak/>
              <w:t xml:space="preserve">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t>
            </w:r>
          </w:p>
          <w:p w14:paraId="6753A386" w14:textId="0B72DB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708940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7C3FDF">
              <w:rPr>
                <w:rFonts w:ascii="Century Gothic" w:hAnsi="Century Gothic"/>
                <w:sz w:val="20"/>
                <w:szCs w:val="20"/>
              </w:rPr>
              <w:t>.</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40.000.000 PLN na jedno i wszystkie Zdarzenia - Mienie otaczające (należące do Zamawiającego), w tym paliwo gazowe – sublimit 20.000.000 PLN na jedno i wszystkie Zdarzenia</w:t>
            </w:r>
          </w:p>
          <w:p w14:paraId="07B1C506" w14:textId="77777777" w:rsidR="005D768D" w:rsidRPr="007C3FDF" w:rsidRDefault="005D768D" w:rsidP="005D768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lastRenderedPageBreak/>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3A643AC"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C7F0230"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3DEBFE30" w14:textId="64100D76"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3D7EEC6" w14:textId="77777777" w:rsidR="005D768D" w:rsidRPr="007C3FDF" w:rsidRDefault="005D768D" w:rsidP="005D768D">
            <w:pPr>
              <w:ind w:right="142"/>
              <w:jc w:val="both"/>
              <w:rPr>
                <w:rFonts w:ascii="Century Gothic" w:hAnsi="Century Gothic"/>
                <w:sz w:val="20"/>
                <w:szCs w:val="20"/>
              </w:rPr>
            </w:pP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1F4898E3" w:rsidR="005D768D" w:rsidRPr="007C3FDF" w:rsidRDefault="005D768D" w:rsidP="007C3FDF">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4B121F8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11517297" w14:textId="77777777" w:rsidR="005D768D" w:rsidRPr="007C3FDF" w:rsidRDefault="005D768D" w:rsidP="005D768D">
            <w:pPr>
              <w:jc w:val="both"/>
              <w:rPr>
                <w:rFonts w:ascii="Century Gothic" w:hAnsi="Century Gothic"/>
                <w:sz w:val="20"/>
                <w:szCs w:val="20"/>
              </w:rPr>
            </w:pP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3D42EEDC" w14:textId="188A6C68" w:rsidR="005D768D" w:rsidRPr="005D768D" w:rsidRDefault="005D768D" w:rsidP="005D768D">
      <w:pPr>
        <w:spacing w:after="0"/>
        <w:rPr>
          <w:rFonts w:ascii="Century Gothic" w:hAnsi="Century Gothic"/>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informacyjny.</w:t>
      </w:r>
      <w:r w:rsidRPr="005D768D">
        <w:rPr>
          <w:rFonts w:ascii="Century Gothic" w:hAnsi="Century Gothic"/>
          <w:i/>
          <w:u w:val="single"/>
        </w:rPr>
        <w:t xml:space="preserve"> </w:t>
      </w:r>
      <w:r w:rsidRPr="005D768D">
        <w:rPr>
          <w:rFonts w:ascii="Century Gothic" w:hAnsi="Century Gothic"/>
          <w:i/>
          <w:u w:val="single"/>
        </w:rPr>
        <w:br/>
      </w: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z zastrzeżeniem podlimitów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Najważniejsze wyłączenia z zakresu ubezpieczenia (w zakresie wyłączeń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Wybrane, kluczowe rozszerzenia zakresu ubezpieczenia i  podlimity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Trigger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Wypadek (wystąpienie błędu zawodowego), który miał miejsce w okresie ubezpieczenia (tzw. act commited)</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t>
            </w:r>
            <w:r w:rsidRPr="000A4281">
              <w:rPr>
                <w:rFonts w:ascii="Century Gothic" w:hAnsi="Century Gothic"/>
                <w:sz w:val="20"/>
                <w:szCs w:val="20"/>
              </w:rPr>
              <w:lastRenderedPageBreak/>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055486E0"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2FD8D76D"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194A73"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wymagane dla Wariantu I i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czystych strat finansowych (ang. pure financial losses)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lastRenderedPageBreak/>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 W przypadku wariantów I i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podlimitami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a) podlimit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b) kary nałożone na osoby trzecie I regresowane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 xml:space="preserve">400 tys. PLN (wymagane dla Inwestycji, których przedmiot prac obejmuje prace </w:t>
            </w:r>
            <w:r w:rsidRPr="002E07AE">
              <w:rPr>
                <w:rFonts w:ascii="Century Gothic" w:hAnsi="Century Gothic"/>
                <w:sz w:val="12"/>
                <w:szCs w:val="12"/>
              </w:rPr>
              <w:lastRenderedPageBreak/>
              <w:t>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w:t>
            </w:r>
            <w:r w:rsidRPr="002E07AE">
              <w:rPr>
                <w:rFonts w:ascii="Century Gothic" w:hAnsi="Century Gothic"/>
                <w:sz w:val="12"/>
                <w:szCs w:val="12"/>
              </w:rPr>
              <w:lastRenderedPageBreak/>
              <w:t>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7E330391"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Pr>
                <w:rFonts w:ascii="Century Gothic" w:hAnsi="Century Gothic"/>
                <w:sz w:val="20"/>
                <w:szCs w:val="20"/>
              </w:rPr>
              <w:t>.</w:t>
            </w:r>
            <w:r w:rsidR="00850B49">
              <w:rPr>
                <w:rFonts w:ascii="Century Gothic" w:hAnsi="Century Gothic"/>
                <w:sz w:val="20"/>
                <w:szCs w:val="20"/>
              </w:rPr>
              <w:t>12</w:t>
            </w:r>
            <w:r w:rsidRPr="00DD6FA8">
              <w:rPr>
                <w:rFonts w:ascii="Century Gothic" w:hAnsi="Century Gothic"/>
                <w:sz w:val="20"/>
                <w:szCs w:val="20"/>
              </w:rPr>
              <w:t xml:space="preserve"> ust. </w:t>
            </w:r>
            <w:r w:rsidR="00850B49">
              <w:rPr>
                <w:rFonts w:ascii="Century Gothic" w:hAnsi="Century Gothic"/>
                <w:sz w:val="20"/>
                <w:szCs w:val="20"/>
              </w:rPr>
              <w:t>5</w:t>
            </w:r>
            <w:r w:rsidRPr="00DD6FA8">
              <w:rPr>
                <w:rFonts w:ascii="Century Gothic" w:hAnsi="Century Gothic"/>
                <w:sz w:val="20"/>
                <w:szCs w:val="20"/>
              </w:rPr>
              <w:t xml:space="preserve"> Załącznika nr </w:t>
            </w:r>
            <w:r w:rsidR="00426A45">
              <w:rPr>
                <w:rFonts w:ascii="Century Gothic" w:hAnsi="Century Gothic"/>
                <w:sz w:val="20"/>
                <w:szCs w:val="20"/>
              </w:rPr>
              <w:t>6 d</w:t>
            </w:r>
            <w:r w:rsidRPr="00DD6FA8">
              <w:rPr>
                <w:rFonts w:ascii="Century Gothic" w:hAnsi="Century Gothic"/>
                <w:sz w:val="20"/>
                <w:szCs w:val="20"/>
              </w:rPr>
              <w:t xml:space="preserve">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Czasowy zakres ochrony ubezpieczeniowej stosowany w umowie ubezpieczenia (tzw. trigger)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lastRenderedPageBreak/>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W przypadku Wariantu I i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wyłączeń: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czystych strat finansowych powstałych w następstwie wadliwości wykonanej pracy lub usługi (z zastrzeżeniem pkt 12 Tabeli nr 2 Minimalne podlimity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kar pieniężnych, grzywien kar umownych nałożonych na osoby trzecie i rozrysowanych od ubezpieczonego (z zastrzeżeniem pkt 12 Tabeli nr 2 Minimalne podlimity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201" w14:textId="77777777" w:rsidR="00A622CA" w:rsidRDefault="00A622CA" w:rsidP="00E83CA0">
      <w:pPr>
        <w:spacing w:after="0" w:line="240" w:lineRule="auto"/>
      </w:pPr>
      <w:r>
        <w:separator/>
      </w:r>
    </w:p>
  </w:endnote>
  <w:endnote w:type="continuationSeparator" w:id="0">
    <w:p w14:paraId="75D74CD8" w14:textId="77777777" w:rsidR="00A622CA" w:rsidRDefault="00A622CA"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5F7A" w14:textId="77777777" w:rsidR="008D62AC" w:rsidRDefault="008D62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EndPr/>
    <w:sdtContent>
      <w:sdt>
        <w:sdtPr>
          <w:id w:val="-1769616900"/>
          <w:docPartObj>
            <w:docPartGallery w:val="Page Numbers (Top of Page)"/>
            <w:docPartUnique/>
          </w:docPartObj>
        </w:sdtPr>
        <w:sdtEnd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2E66" w14:textId="77777777" w:rsidR="008D62AC" w:rsidRDefault="008D62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B68CE" w14:textId="77777777" w:rsidR="00A622CA" w:rsidRDefault="00A622CA" w:rsidP="00E83CA0">
      <w:pPr>
        <w:spacing w:after="0" w:line="240" w:lineRule="auto"/>
      </w:pPr>
      <w:r>
        <w:separator/>
      </w:r>
    </w:p>
  </w:footnote>
  <w:footnote w:type="continuationSeparator" w:id="0">
    <w:p w14:paraId="032CCEAC" w14:textId="77777777" w:rsidR="00A622CA" w:rsidRDefault="00A622CA"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635F" w14:textId="77777777" w:rsidR="008D62AC" w:rsidRDefault="008D62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6625D61B" w:rsidR="005D768D" w:rsidRPr="005A7ED1" w:rsidRDefault="005D768D" w:rsidP="005A7ED1">
    <w:pPr>
      <w:pStyle w:val="Nagwek"/>
      <w:jc w:val="right"/>
      <w:rPr>
        <w:b/>
      </w:rPr>
    </w:pPr>
    <w:r w:rsidRPr="005A7ED1">
      <w:rPr>
        <w:b/>
      </w:rPr>
      <w:t xml:space="preserve">ZAŁĄCZNIK NR </w:t>
    </w:r>
    <w:r w:rsidR="008D62AC">
      <w:rPr>
        <w:b/>
      </w:rPr>
      <w:t>1</w:t>
    </w:r>
    <w:r w:rsidR="00C51A56">
      <w:rPr>
        <w:b/>
      </w:rPr>
      <w:t>4</w:t>
    </w:r>
    <w:r w:rsidR="008D62AC">
      <w:rPr>
        <w:b/>
      </w:rPr>
      <w:t xml:space="preserve"> </w:t>
    </w:r>
    <w:r w:rsidRPr="005A7ED1">
      <w:rPr>
        <w:b/>
      </w:rPr>
      <w:t>CAR_EAR_OCZ_02</w:t>
    </w:r>
    <w:r w:rsidRPr="005A7ED1">
      <w:t xml:space="preserve"> </w:t>
    </w:r>
    <w:r w:rsidRPr="005A7ED1">
      <w:rPr>
        <w:b/>
      </w:rPr>
      <w:t xml:space="preserve">DO UMOWY </w:t>
    </w:r>
  </w:p>
  <w:p w14:paraId="198059D1" w14:textId="77777777" w:rsidR="005D768D" w:rsidRDefault="005D768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EAE1" w14:textId="77777777" w:rsidR="008D62AC" w:rsidRDefault="008D62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382166066">
    <w:abstractNumId w:val="8"/>
  </w:num>
  <w:num w:numId="2" w16cid:durableId="304091970">
    <w:abstractNumId w:val="6"/>
  </w:num>
  <w:num w:numId="3" w16cid:durableId="1350832782">
    <w:abstractNumId w:val="7"/>
  </w:num>
  <w:num w:numId="4" w16cid:durableId="1622612341">
    <w:abstractNumId w:val="4"/>
  </w:num>
  <w:num w:numId="5" w16cid:durableId="319695322">
    <w:abstractNumId w:val="31"/>
  </w:num>
  <w:num w:numId="6" w16cid:durableId="188186339">
    <w:abstractNumId w:val="23"/>
  </w:num>
  <w:num w:numId="7" w16cid:durableId="4053029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91569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03846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9870523">
    <w:abstractNumId w:val="39"/>
  </w:num>
  <w:num w:numId="11" w16cid:durableId="441653656">
    <w:abstractNumId w:val="36"/>
  </w:num>
  <w:num w:numId="12" w16cid:durableId="1341348230">
    <w:abstractNumId w:val="12"/>
  </w:num>
  <w:num w:numId="13" w16cid:durableId="692918896">
    <w:abstractNumId w:val="2"/>
  </w:num>
  <w:num w:numId="14" w16cid:durableId="676999031">
    <w:abstractNumId w:val="34"/>
  </w:num>
  <w:num w:numId="15" w16cid:durableId="1266381907">
    <w:abstractNumId w:val="29"/>
  </w:num>
  <w:num w:numId="16" w16cid:durableId="1455100494">
    <w:abstractNumId w:val="1"/>
  </w:num>
  <w:num w:numId="17" w16cid:durableId="618683653">
    <w:abstractNumId w:val="40"/>
  </w:num>
  <w:num w:numId="18" w16cid:durableId="1505319906">
    <w:abstractNumId w:val="11"/>
  </w:num>
  <w:num w:numId="19" w16cid:durableId="2161693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4528376">
    <w:abstractNumId w:val="18"/>
  </w:num>
  <w:num w:numId="21" w16cid:durableId="788857277">
    <w:abstractNumId w:val="5"/>
  </w:num>
  <w:num w:numId="22" w16cid:durableId="401606234">
    <w:abstractNumId w:val="19"/>
  </w:num>
  <w:num w:numId="23" w16cid:durableId="1618099197">
    <w:abstractNumId w:val="9"/>
  </w:num>
  <w:num w:numId="24" w16cid:durableId="2145731556">
    <w:abstractNumId w:val="39"/>
    <w:lvlOverride w:ilvl="0">
      <w:startOverride w:val="1"/>
    </w:lvlOverride>
    <w:lvlOverride w:ilvl="1"/>
    <w:lvlOverride w:ilvl="2"/>
    <w:lvlOverride w:ilvl="3"/>
    <w:lvlOverride w:ilvl="4"/>
    <w:lvlOverride w:ilvl="5"/>
    <w:lvlOverride w:ilvl="6"/>
    <w:lvlOverride w:ilvl="7"/>
    <w:lvlOverride w:ilvl="8"/>
  </w:num>
  <w:num w:numId="25" w16cid:durableId="1086457835">
    <w:abstractNumId w:val="4"/>
  </w:num>
  <w:num w:numId="26" w16cid:durableId="14025610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54953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86683013">
    <w:abstractNumId w:val="22"/>
  </w:num>
  <w:num w:numId="29" w16cid:durableId="423958859">
    <w:abstractNumId w:val="10"/>
  </w:num>
  <w:num w:numId="30" w16cid:durableId="32780186">
    <w:abstractNumId w:val="0"/>
  </w:num>
  <w:num w:numId="31" w16cid:durableId="915092600">
    <w:abstractNumId w:val="20"/>
  </w:num>
  <w:num w:numId="32" w16cid:durableId="2057045896">
    <w:abstractNumId w:val="30"/>
  </w:num>
  <w:num w:numId="33" w16cid:durableId="607125759">
    <w:abstractNumId w:val="16"/>
  </w:num>
  <w:num w:numId="34" w16cid:durableId="990328745">
    <w:abstractNumId w:val="3"/>
  </w:num>
  <w:num w:numId="35" w16cid:durableId="190651948">
    <w:abstractNumId w:val="38"/>
  </w:num>
  <w:num w:numId="36" w16cid:durableId="1050181422">
    <w:abstractNumId w:val="21"/>
  </w:num>
  <w:num w:numId="37" w16cid:durableId="1319915924">
    <w:abstractNumId w:val="25"/>
  </w:num>
  <w:num w:numId="38" w16cid:durableId="1745881171">
    <w:abstractNumId w:val="15"/>
  </w:num>
  <w:num w:numId="39" w16cid:durableId="738287403">
    <w:abstractNumId w:val="14"/>
  </w:num>
  <w:num w:numId="40" w16cid:durableId="411779900">
    <w:abstractNumId w:val="33"/>
  </w:num>
  <w:num w:numId="41" w16cid:durableId="2062242259">
    <w:abstractNumId w:val="35"/>
  </w:num>
  <w:num w:numId="42" w16cid:durableId="1324502836">
    <w:abstractNumId w:val="24"/>
  </w:num>
  <w:num w:numId="43" w16cid:durableId="291063954">
    <w:abstractNumId w:val="17"/>
  </w:num>
  <w:num w:numId="44" w16cid:durableId="1865829084">
    <w:abstractNumId w:val="41"/>
  </w:num>
  <w:num w:numId="45" w16cid:durableId="1580871121">
    <w:abstractNumId w:val="37"/>
  </w:num>
  <w:num w:numId="46" w16cid:durableId="763842965">
    <w:abstractNumId w:val="26"/>
  </w:num>
  <w:num w:numId="47" w16cid:durableId="157188261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877B6"/>
    <w:rsid w:val="00194A73"/>
    <w:rsid w:val="001A3D6A"/>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5875"/>
    <w:rsid w:val="00426A45"/>
    <w:rsid w:val="0043231E"/>
    <w:rsid w:val="0044257A"/>
    <w:rsid w:val="00442C58"/>
    <w:rsid w:val="00450302"/>
    <w:rsid w:val="00457462"/>
    <w:rsid w:val="00471EEC"/>
    <w:rsid w:val="0047595A"/>
    <w:rsid w:val="00487486"/>
    <w:rsid w:val="004C2844"/>
    <w:rsid w:val="004D056D"/>
    <w:rsid w:val="004D0871"/>
    <w:rsid w:val="004D5952"/>
    <w:rsid w:val="004F0255"/>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0B49"/>
    <w:rsid w:val="0085189E"/>
    <w:rsid w:val="00860669"/>
    <w:rsid w:val="00863DA1"/>
    <w:rsid w:val="00867969"/>
    <w:rsid w:val="00885657"/>
    <w:rsid w:val="00887F6C"/>
    <w:rsid w:val="008B313E"/>
    <w:rsid w:val="008B3173"/>
    <w:rsid w:val="008C2790"/>
    <w:rsid w:val="008D62AC"/>
    <w:rsid w:val="008F17EA"/>
    <w:rsid w:val="008F3814"/>
    <w:rsid w:val="008F789D"/>
    <w:rsid w:val="00924977"/>
    <w:rsid w:val="00943B22"/>
    <w:rsid w:val="00965D97"/>
    <w:rsid w:val="00966E27"/>
    <w:rsid w:val="0097070D"/>
    <w:rsid w:val="009751F6"/>
    <w:rsid w:val="00977785"/>
    <w:rsid w:val="009B2722"/>
    <w:rsid w:val="009B3084"/>
    <w:rsid w:val="009D3384"/>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B4641"/>
    <w:rsid w:val="00AC5BFA"/>
    <w:rsid w:val="00AD78B5"/>
    <w:rsid w:val="00AE6705"/>
    <w:rsid w:val="00AE7196"/>
    <w:rsid w:val="00AF62F7"/>
    <w:rsid w:val="00B0684E"/>
    <w:rsid w:val="00B120DC"/>
    <w:rsid w:val="00B13ADF"/>
    <w:rsid w:val="00B234C2"/>
    <w:rsid w:val="00B652A4"/>
    <w:rsid w:val="00BA1152"/>
    <w:rsid w:val="00BA5F4B"/>
    <w:rsid w:val="00BD707B"/>
    <w:rsid w:val="00BF2389"/>
    <w:rsid w:val="00BF3B0B"/>
    <w:rsid w:val="00C21604"/>
    <w:rsid w:val="00C24F8D"/>
    <w:rsid w:val="00C44489"/>
    <w:rsid w:val="00C51A56"/>
    <w:rsid w:val="00C568E4"/>
    <w:rsid w:val="00C652CE"/>
    <w:rsid w:val="00C77AA6"/>
    <w:rsid w:val="00C8640C"/>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5108</Words>
  <Characters>30649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Chludzińska Urszula</cp:lastModifiedBy>
  <cp:revision>5</cp:revision>
  <cp:lastPrinted>2017-05-24T12:50:00Z</cp:lastPrinted>
  <dcterms:created xsi:type="dcterms:W3CDTF">2021-08-05T12:28:00Z</dcterms:created>
  <dcterms:modified xsi:type="dcterms:W3CDTF">2022-12-09T12:45:00Z</dcterms:modified>
</cp:coreProperties>
</file>