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9D869C" w14:textId="0944D224" w:rsidR="00810A16" w:rsidRPr="00BA3EAD" w:rsidRDefault="00810A16" w:rsidP="00BA3EAD">
      <w:pPr>
        <w:spacing w:after="0"/>
        <w:ind w:left="1778"/>
        <w:contextualSpacing/>
        <w:jc w:val="both"/>
        <w:rPr>
          <w:rFonts w:ascii="Century Gothic" w:eastAsia="Times New Roman" w:hAnsi="Century Gothic" w:cs="Times New Roman"/>
          <w:sz w:val="20"/>
          <w:szCs w:val="20"/>
          <w:lang w:eastAsia="pl-PL"/>
        </w:rPr>
      </w:pPr>
      <w:r w:rsidRPr="00BA3EAD">
        <w:rPr>
          <w:rFonts w:ascii="Century Gothic" w:eastAsia="Times New Roman" w:hAnsi="Century Gothic" w:cs="Times New Roman"/>
          <w:sz w:val="20"/>
          <w:szCs w:val="20"/>
          <w:lang w:eastAsia="pl-PL"/>
        </w:rPr>
        <w:tab/>
      </w:r>
      <w:r w:rsidRPr="00BA3EAD">
        <w:rPr>
          <w:rFonts w:ascii="Century Gothic" w:eastAsia="Times New Roman" w:hAnsi="Century Gothic" w:cs="Times New Roman"/>
          <w:sz w:val="20"/>
          <w:szCs w:val="20"/>
          <w:lang w:eastAsia="pl-PL"/>
        </w:rPr>
        <w:tab/>
      </w:r>
      <w:r w:rsidRPr="00BA3EAD">
        <w:rPr>
          <w:rFonts w:ascii="Century Gothic" w:eastAsia="Times New Roman" w:hAnsi="Century Gothic" w:cs="Times New Roman"/>
          <w:sz w:val="20"/>
          <w:szCs w:val="20"/>
          <w:lang w:eastAsia="pl-PL"/>
        </w:rPr>
        <w:tab/>
      </w:r>
      <w:r w:rsidRPr="00BA3EAD">
        <w:rPr>
          <w:rFonts w:ascii="Century Gothic" w:eastAsia="Times New Roman" w:hAnsi="Century Gothic" w:cs="Times New Roman"/>
          <w:sz w:val="20"/>
          <w:szCs w:val="20"/>
          <w:lang w:eastAsia="pl-PL"/>
        </w:rPr>
        <w:tab/>
      </w:r>
      <w:r w:rsidRPr="00BA3EAD">
        <w:rPr>
          <w:rFonts w:ascii="Century Gothic" w:eastAsia="Times New Roman" w:hAnsi="Century Gothic" w:cs="Times New Roman"/>
          <w:sz w:val="20"/>
          <w:szCs w:val="20"/>
          <w:lang w:eastAsia="pl-PL"/>
        </w:rPr>
        <w:tab/>
      </w:r>
      <w:r w:rsidRPr="00BA3EAD">
        <w:rPr>
          <w:rFonts w:ascii="Century Gothic" w:eastAsia="Times New Roman" w:hAnsi="Century Gothic" w:cs="Times New Roman"/>
          <w:sz w:val="20"/>
          <w:szCs w:val="20"/>
          <w:lang w:eastAsia="pl-PL"/>
        </w:rPr>
        <w:tab/>
      </w:r>
      <w:r w:rsidRPr="00BA3EAD">
        <w:rPr>
          <w:rFonts w:ascii="Century Gothic" w:eastAsia="Times New Roman" w:hAnsi="Century Gothic" w:cs="Times New Roman"/>
          <w:sz w:val="20"/>
          <w:szCs w:val="20"/>
          <w:lang w:eastAsia="pl-PL"/>
        </w:rPr>
        <w:tab/>
      </w:r>
      <w:r w:rsidRPr="00BA3EAD">
        <w:rPr>
          <w:rFonts w:ascii="Century Gothic" w:eastAsia="Times New Roman" w:hAnsi="Century Gothic" w:cs="Times New Roman"/>
          <w:sz w:val="20"/>
          <w:szCs w:val="20"/>
          <w:lang w:eastAsia="pl-PL"/>
        </w:rPr>
        <w:tab/>
        <w:t>Zał. nr</w:t>
      </w:r>
      <w:r w:rsidR="00D45004" w:rsidRPr="00BA3EAD">
        <w:rPr>
          <w:rFonts w:ascii="Century Gothic" w:eastAsia="Times New Roman" w:hAnsi="Century Gothic" w:cs="Times New Roman"/>
          <w:sz w:val="20"/>
          <w:szCs w:val="20"/>
          <w:lang w:eastAsia="pl-PL"/>
        </w:rPr>
        <w:t xml:space="preserve"> </w:t>
      </w:r>
      <w:r w:rsidR="00BA3EAD" w:rsidRPr="00BA3EAD">
        <w:rPr>
          <w:rFonts w:ascii="Century Gothic" w:eastAsia="Times New Roman" w:hAnsi="Century Gothic" w:cs="Times New Roman"/>
          <w:sz w:val="20"/>
          <w:szCs w:val="20"/>
          <w:lang w:eastAsia="pl-PL"/>
        </w:rPr>
        <w:t>9</w:t>
      </w:r>
      <w:r w:rsidRPr="00BA3EAD">
        <w:rPr>
          <w:rFonts w:ascii="Century Gothic" w:eastAsia="Times New Roman" w:hAnsi="Century Gothic" w:cs="Times New Roman"/>
          <w:sz w:val="20"/>
          <w:szCs w:val="20"/>
          <w:lang w:eastAsia="pl-PL"/>
        </w:rPr>
        <w:t>do OPZ</w:t>
      </w:r>
    </w:p>
    <w:p w14:paraId="1542012A" w14:textId="5AB4FC9E" w:rsidR="0089631E" w:rsidRPr="00BA3EAD" w:rsidRDefault="0089631E" w:rsidP="00BA3EAD">
      <w:pPr>
        <w:spacing w:after="0"/>
        <w:ind w:left="1778"/>
        <w:contextualSpacing/>
        <w:jc w:val="both"/>
        <w:rPr>
          <w:rFonts w:ascii="Century Gothic" w:eastAsia="Times New Roman" w:hAnsi="Century Gothic" w:cs="Times New Roman"/>
          <w:sz w:val="20"/>
          <w:szCs w:val="20"/>
          <w:lang w:eastAsia="pl-PL"/>
        </w:rPr>
      </w:pPr>
      <w:r w:rsidRPr="00BA3EAD">
        <w:rPr>
          <w:rFonts w:ascii="Century Gothic" w:eastAsia="Times New Roman" w:hAnsi="Century Gothic" w:cs="Times New Roman"/>
          <w:sz w:val="20"/>
          <w:szCs w:val="20"/>
          <w:lang w:eastAsia="pl-PL"/>
        </w:rPr>
        <w:t>Wymagania Zamawiającego dotyczące obsługi geodez</w:t>
      </w:r>
      <w:r w:rsidR="00BA3EAD">
        <w:rPr>
          <w:rFonts w:ascii="Century Gothic" w:eastAsia="Times New Roman" w:hAnsi="Century Gothic" w:cs="Times New Roman"/>
          <w:sz w:val="20"/>
          <w:szCs w:val="20"/>
          <w:lang w:eastAsia="pl-PL"/>
        </w:rPr>
        <w:t>y</w:t>
      </w:r>
      <w:r w:rsidRPr="00BA3EAD">
        <w:rPr>
          <w:rFonts w:ascii="Century Gothic" w:eastAsia="Times New Roman" w:hAnsi="Century Gothic" w:cs="Times New Roman"/>
          <w:sz w:val="20"/>
          <w:szCs w:val="20"/>
          <w:lang w:eastAsia="pl-PL"/>
        </w:rPr>
        <w:t xml:space="preserve">jnej: </w:t>
      </w:r>
    </w:p>
    <w:p w14:paraId="203370B7" w14:textId="77777777" w:rsidR="00810A16" w:rsidRPr="00BA3EAD" w:rsidRDefault="00810A16" w:rsidP="00BA3EAD">
      <w:pPr>
        <w:spacing w:after="0"/>
        <w:ind w:left="1778"/>
        <w:contextualSpacing/>
        <w:jc w:val="both"/>
        <w:rPr>
          <w:rFonts w:ascii="Century Gothic" w:eastAsia="Times New Roman" w:hAnsi="Century Gothic" w:cs="Times New Roman"/>
          <w:sz w:val="20"/>
          <w:szCs w:val="20"/>
          <w:lang w:eastAsia="pl-PL"/>
        </w:rPr>
      </w:pPr>
    </w:p>
    <w:p w14:paraId="7077E8C1" w14:textId="77777777" w:rsidR="0089631E" w:rsidRPr="00BA3EAD" w:rsidRDefault="0089631E" w:rsidP="00BA3EAD">
      <w:pPr>
        <w:numPr>
          <w:ilvl w:val="0"/>
          <w:numId w:val="2"/>
        </w:numPr>
        <w:spacing w:after="0"/>
        <w:ind w:left="284" w:hanging="284"/>
        <w:contextualSpacing/>
        <w:jc w:val="both"/>
        <w:rPr>
          <w:rFonts w:ascii="Century Gothic" w:eastAsia="Times New Roman" w:hAnsi="Century Gothic" w:cs="Times New Roman"/>
          <w:sz w:val="20"/>
          <w:szCs w:val="20"/>
          <w:lang w:eastAsia="pl-PL"/>
        </w:rPr>
      </w:pPr>
      <w:r w:rsidRPr="00BA3EAD">
        <w:rPr>
          <w:rFonts w:ascii="Century Gothic" w:eastAsia="Times New Roman" w:hAnsi="Century Gothic" w:cs="Times New Roman"/>
          <w:sz w:val="20"/>
          <w:szCs w:val="20"/>
          <w:lang w:eastAsia="pl-PL"/>
        </w:rPr>
        <w:t xml:space="preserve">Dla zadań zleconych, które w swoim zakresie obejmują zakres wznowienia znaków granicznych, Wykonawca wykona prace geodezyjne polegające na wykonaniu przedmiotowych czynności łącznie ze zgłoszeniem prac w Ośrodku Dokumentacji Geodezyjno-Kartograficznym. </w:t>
      </w:r>
    </w:p>
    <w:p w14:paraId="432930DE" w14:textId="77777777" w:rsidR="0089631E" w:rsidRPr="00BA3EAD" w:rsidRDefault="0089631E" w:rsidP="00BA3EAD">
      <w:pPr>
        <w:numPr>
          <w:ilvl w:val="0"/>
          <w:numId w:val="2"/>
        </w:numPr>
        <w:spacing w:after="0"/>
        <w:ind w:left="284" w:hanging="284"/>
        <w:contextualSpacing/>
        <w:jc w:val="both"/>
        <w:rPr>
          <w:rFonts w:ascii="Century Gothic" w:eastAsia="Times New Roman" w:hAnsi="Century Gothic" w:cs="Times New Roman"/>
          <w:sz w:val="20"/>
          <w:szCs w:val="20"/>
          <w:lang w:eastAsia="pl-PL"/>
        </w:rPr>
      </w:pPr>
      <w:r w:rsidRPr="00BA3EAD">
        <w:rPr>
          <w:rFonts w:ascii="Century Gothic" w:eastAsia="Times New Roman" w:hAnsi="Century Gothic" w:cs="Times New Roman"/>
          <w:sz w:val="20"/>
          <w:szCs w:val="20"/>
          <w:lang w:eastAsia="pl-PL"/>
        </w:rPr>
        <w:t>W przypadku zadań, których nie można zrealizować w jednym etapie Wykonawca zapewni, iż obsługa geodezyjna będzie przeprowadzana etapowo zgodnie z przyjętym harmonogramem prac budowlanych dla przedmiotowych zadań. Zagadnienie to dotyczy wytyczenia jak i pomiaru powykonawczego zgłaszanego przez wykonawcę prac budowlanych lub Zamawiającego.</w:t>
      </w:r>
    </w:p>
    <w:p w14:paraId="1E449F20" w14:textId="77777777" w:rsidR="0089631E" w:rsidRPr="00BA3EAD" w:rsidRDefault="0089631E" w:rsidP="00BA3EAD">
      <w:pPr>
        <w:numPr>
          <w:ilvl w:val="0"/>
          <w:numId w:val="2"/>
        </w:numPr>
        <w:spacing w:after="0"/>
        <w:ind w:left="284" w:hanging="284"/>
        <w:contextualSpacing/>
        <w:jc w:val="both"/>
        <w:rPr>
          <w:rFonts w:ascii="Century Gothic" w:eastAsia="Times New Roman" w:hAnsi="Century Gothic" w:cs="Times New Roman"/>
          <w:sz w:val="20"/>
          <w:szCs w:val="20"/>
          <w:lang w:eastAsia="pl-PL"/>
        </w:rPr>
      </w:pPr>
      <w:r w:rsidRPr="00BA3EAD">
        <w:rPr>
          <w:rFonts w:ascii="Century Gothic" w:eastAsia="Times New Roman" w:hAnsi="Century Gothic" w:cs="Times New Roman"/>
          <w:sz w:val="20"/>
          <w:szCs w:val="20"/>
          <w:lang w:eastAsia="pl-PL"/>
        </w:rPr>
        <w:t>Wytyczeniu podlegać będą wszystkie elementy realizowane w danym zadaniu z uwzględnieniem także takich elementów jak:</w:t>
      </w:r>
    </w:p>
    <w:p w14:paraId="4999465F" w14:textId="77777777" w:rsidR="0089631E" w:rsidRPr="00BA3EAD" w:rsidRDefault="0089631E" w:rsidP="00BA3EAD">
      <w:pPr>
        <w:numPr>
          <w:ilvl w:val="1"/>
          <w:numId w:val="2"/>
        </w:numPr>
        <w:tabs>
          <w:tab w:val="left" w:pos="567"/>
        </w:tabs>
        <w:spacing w:after="0"/>
        <w:ind w:left="567" w:hanging="283"/>
        <w:contextualSpacing/>
        <w:jc w:val="both"/>
        <w:rPr>
          <w:rFonts w:ascii="Century Gothic" w:eastAsia="Times New Roman" w:hAnsi="Century Gothic" w:cs="Times New Roman"/>
          <w:sz w:val="20"/>
          <w:szCs w:val="20"/>
          <w:lang w:eastAsia="pl-PL"/>
        </w:rPr>
      </w:pPr>
      <w:r w:rsidRPr="00BA3EAD">
        <w:rPr>
          <w:rFonts w:ascii="Century Gothic" w:eastAsia="Times New Roman" w:hAnsi="Century Gothic" w:cs="Times New Roman"/>
          <w:sz w:val="20"/>
          <w:szCs w:val="20"/>
          <w:lang w:eastAsia="pl-PL"/>
        </w:rPr>
        <w:t xml:space="preserve">szerokość pasa robót montażowych, </w:t>
      </w:r>
    </w:p>
    <w:p w14:paraId="182D89C0" w14:textId="77777777" w:rsidR="0089631E" w:rsidRPr="00BA3EAD" w:rsidRDefault="0089631E" w:rsidP="00BA3EAD">
      <w:pPr>
        <w:numPr>
          <w:ilvl w:val="1"/>
          <w:numId w:val="2"/>
        </w:numPr>
        <w:tabs>
          <w:tab w:val="left" w:pos="567"/>
        </w:tabs>
        <w:spacing w:after="0"/>
        <w:ind w:left="567" w:hanging="283"/>
        <w:contextualSpacing/>
        <w:jc w:val="both"/>
        <w:rPr>
          <w:rFonts w:ascii="Century Gothic" w:eastAsia="Times New Roman" w:hAnsi="Century Gothic" w:cs="Times New Roman"/>
          <w:sz w:val="20"/>
          <w:szCs w:val="20"/>
          <w:lang w:eastAsia="pl-PL"/>
        </w:rPr>
      </w:pPr>
      <w:r w:rsidRPr="00BA3EAD">
        <w:rPr>
          <w:rFonts w:ascii="Century Gothic" w:eastAsia="Times New Roman" w:hAnsi="Century Gothic" w:cs="Times New Roman"/>
          <w:sz w:val="20"/>
          <w:szCs w:val="20"/>
          <w:lang w:eastAsia="pl-PL"/>
        </w:rPr>
        <w:t xml:space="preserve">zmiana grubości ścianki, </w:t>
      </w:r>
    </w:p>
    <w:p w14:paraId="260A390F" w14:textId="77777777" w:rsidR="0089631E" w:rsidRPr="00BA3EAD" w:rsidRDefault="0089631E" w:rsidP="00BA3EAD">
      <w:pPr>
        <w:numPr>
          <w:ilvl w:val="1"/>
          <w:numId w:val="2"/>
        </w:numPr>
        <w:tabs>
          <w:tab w:val="left" w:pos="567"/>
        </w:tabs>
        <w:spacing w:after="0"/>
        <w:ind w:left="567" w:hanging="283"/>
        <w:contextualSpacing/>
        <w:jc w:val="both"/>
        <w:rPr>
          <w:rFonts w:ascii="Century Gothic" w:eastAsia="Times New Roman" w:hAnsi="Century Gothic" w:cs="Times New Roman"/>
          <w:sz w:val="20"/>
          <w:szCs w:val="20"/>
          <w:lang w:eastAsia="pl-PL"/>
        </w:rPr>
      </w:pPr>
      <w:r w:rsidRPr="00BA3EAD">
        <w:rPr>
          <w:rFonts w:ascii="Century Gothic" w:eastAsia="Times New Roman" w:hAnsi="Century Gothic" w:cs="Times New Roman"/>
          <w:sz w:val="20"/>
          <w:szCs w:val="20"/>
          <w:lang w:eastAsia="pl-PL"/>
        </w:rPr>
        <w:t xml:space="preserve">obciążniki,  </w:t>
      </w:r>
    </w:p>
    <w:p w14:paraId="713BB1AA" w14:textId="77777777" w:rsidR="0089631E" w:rsidRPr="00BA3EAD" w:rsidRDefault="0089631E" w:rsidP="00BA3EAD">
      <w:pPr>
        <w:numPr>
          <w:ilvl w:val="1"/>
          <w:numId w:val="2"/>
        </w:numPr>
        <w:tabs>
          <w:tab w:val="left" w:pos="567"/>
        </w:tabs>
        <w:spacing w:after="0"/>
        <w:ind w:left="567" w:hanging="283"/>
        <w:contextualSpacing/>
        <w:jc w:val="both"/>
        <w:rPr>
          <w:rFonts w:ascii="Century Gothic" w:eastAsia="Times New Roman" w:hAnsi="Century Gothic" w:cs="Times New Roman"/>
          <w:sz w:val="20"/>
          <w:szCs w:val="20"/>
          <w:lang w:eastAsia="pl-PL"/>
        </w:rPr>
      </w:pPr>
      <w:r w:rsidRPr="00BA3EAD">
        <w:rPr>
          <w:rFonts w:ascii="Century Gothic" w:eastAsia="Times New Roman" w:hAnsi="Century Gothic" w:cs="Times New Roman"/>
          <w:sz w:val="20"/>
          <w:szCs w:val="20"/>
          <w:lang w:eastAsia="pl-PL"/>
        </w:rPr>
        <w:t xml:space="preserve">skrzyżowania z obcymi sieciami wraz z znacznikami (np. EMS), </w:t>
      </w:r>
    </w:p>
    <w:p w14:paraId="1A1BAFF6" w14:textId="77777777" w:rsidR="0089631E" w:rsidRPr="00BA3EAD" w:rsidRDefault="0089631E" w:rsidP="00BA3EAD">
      <w:pPr>
        <w:numPr>
          <w:ilvl w:val="1"/>
          <w:numId w:val="2"/>
        </w:numPr>
        <w:tabs>
          <w:tab w:val="left" w:pos="567"/>
        </w:tabs>
        <w:spacing w:after="0"/>
        <w:ind w:left="567" w:hanging="283"/>
        <w:contextualSpacing/>
        <w:jc w:val="both"/>
        <w:rPr>
          <w:rFonts w:ascii="Century Gothic" w:eastAsia="Times New Roman" w:hAnsi="Century Gothic" w:cs="Times New Roman"/>
          <w:sz w:val="20"/>
          <w:szCs w:val="20"/>
          <w:lang w:eastAsia="pl-PL"/>
        </w:rPr>
      </w:pPr>
      <w:r w:rsidRPr="00BA3EAD">
        <w:rPr>
          <w:rFonts w:ascii="Century Gothic" w:eastAsia="Times New Roman" w:hAnsi="Century Gothic" w:cs="Times New Roman"/>
          <w:sz w:val="20"/>
          <w:szCs w:val="20"/>
          <w:lang w:eastAsia="pl-PL"/>
        </w:rPr>
        <w:t xml:space="preserve">wszystkie inne elementy, które wymagają tyczenia w trakcie  prac budowlano-montażowych, które nie mogą być prawidłowo usytuowane bez pomiarów geodezyjnych, a które zgłosi wykonawca robót budowlanych lub Zamawiający. </w:t>
      </w:r>
    </w:p>
    <w:p w14:paraId="333A24BE" w14:textId="77777777" w:rsidR="0089631E" w:rsidRPr="00BA3EAD" w:rsidRDefault="0089631E" w:rsidP="00BA3EAD">
      <w:pPr>
        <w:numPr>
          <w:ilvl w:val="0"/>
          <w:numId w:val="2"/>
        </w:numPr>
        <w:spacing w:after="0"/>
        <w:ind w:left="284" w:hanging="284"/>
        <w:contextualSpacing/>
        <w:jc w:val="both"/>
        <w:rPr>
          <w:rFonts w:ascii="Century Gothic" w:eastAsia="Times New Roman" w:hAnsi="Century Gothic" w:cs="Times New Roman"/>
          <w:sz w:val="20"/>
          <w:szCs w:val="20"/>
          <w:lang w:eastAsia="pl-PL"/>
        </w:rPr>
      </w:pPr>
      <w:r w:rsidRPr="00BA3EAD">
        <w:rPr>
          <w:rFonts w:ascii="Century Gothic" w:eastAsia="Times New Roman" w:hAnsi="Century Gothic" w:cs="Times New Roman"/>
          <w:sz w:val="20"/>
          <w:szCs w:val="20"/>
          <w:lang w:eastAsia="pl-PL"/>
        </w:rPr>
        <w:t xml:space="preserve">Po wykonaniu wytyczenia Wykonawca wykonana dokumentację wytyczenia szczegółów (szkice), która sporządzona zostanie na postawie dokumentacji projektowej i wyników wykonanego tyczenia  i będzie dołączona wraz z odpowiednim wpisem do dziennika budowy. </w:t>
      </w:r>
    </w:p>
    <w:p w14:paraId="58A06596" w14:textId="77777777" w:rsidR="0089631E" w:rsidRPr="00BA3EAD" w:rsidRDefault="0089631E" w:rsidP="00BA3EAD">
      <w:pPr>
        <w:numPr>
          <w:ilvl w:val="0"/>
          <w:numId w:val="2"/>
        </w:numPr>
        <w:spacing w:after="0"/>
        <w:ind w:left="284" w:hanging="284"/>
        <w:contextualSpacing/>
        <w:jc w:val="both"/>
        <w:rPr>
          <w:rFonts w:ascii="Century Gothic" w:eastAsia="Times New Roman" w:hAnsi="Century Gothic" w:cs="Times New Roman"/>
          <w:sz w:val="20"/>
          <w:szCs w:val="20"/>
          <w:lang w:eastAsia="pl-PL"/>
        </w:rPr>
      </w:pPr>
      <w:r w:rsidRPr="00BA3EAD">
        <w:rPr>
          <w:rFonts w:ascii="Century Gothic" w:eastAsia="Times New Roman" w:hAnsi="Century Gothic" w:cs="Times New Roman"/>
          <w:sz w:val="20"/>
          <w:szCs w:val="20"/>
          <w:lang w:eastAsia="pl-PL"/>
        </w:rPr>
        <w:t xml:space="preserve">Każdorazowo na żądanie wykonawcy robót budowlanych lub Zamawiającego, w wyniku wykonania inwentaryzacji, Wykonawca przekaże geodezyjne szkice powykonawcze wykonawcy robót budowlanych nie później niż następnego dnia roboczego. Przedmiotowe szkice powykonawcze, obejmujące zinwentaryzowany obszar wraz ze wszystkimi elementami zgłoszonymi do inwentaryzacji, będą zawierały także dane liczbowe wraz z miarami kontrolnymi, które niezbędne będą wykonawcy prac budowlanych lub Zamawiającemu do zakończenia kolejnych etapów realizowanych prac. </w:t>
      </w:r>
    </w:p>
    <w:p w14:paraId="1C662028" w14:textId="77777777" w:rsidR="0089631E" w:rsidRPr="00BA3EAD" w:rsidRDefault="0089631E" w:rsidP="00BA3EAD">
      <w:pPr>
        <w:numPr>
          <w:ilvl w:val="0"/>
          <w:numId w:val="2"/>
        </w:numPr>
        <w:spacing w:after="0"/>
        <w:ind w:left="284" w:hanging="284"/>
        <w:contextualSpacing/>
        <w:jc w:val="both"/>
        <w:rPr>
          <w:rFonts w:ascii="Century Gothic" w:eastAsia="Times New Roman" w:hAnsi="Century Gothic" w:cs="Times New Roman"/>
          <w:sz w:val="20"/>
          <w:szCs w:val="20"/>
          <w:lang w:eastAsia="pl-PL"/>
        </w:rPr>
      </w:pPr>
      <w:r w:rsidRPr="00BA3EAD">
        <w:rPr>
          <w:rFonts w:ascii="Century Gothic" w:eastAsia="Times New Roman" w:hAnsi="Century Gothic" w:cs="Times New Roman"/>
          <w:sz w:val="20"/>
          <w:szCs w:val="20"/>
          <w:lang w:eastAsia="pl-PL"/>
        </w:rPr>
        <w:t xml:space="preserve">Dla obiektów linowych takich jak: gazociągi, przewody elektroenergetyczne, przewody ochrony antykorozyjnej, przewody telemetryczne, itp., jeśli zajdzie taka konieczność, Wykonawca na wniosek Zamawiającego zobligowany będzie na etapie budowy do określenia rzeczywistej powierzchni pasa montażowego w odniesieniu do granic władania przedmiotowych nieruchomości zgodnych z ewidencją gruntów i budynków oraz do podania długości przedmiotowych obiektów liniowych w omawianym pasie. Obliczona i podana długość oraz powierzchnia  wyznaczonego obszaru odniesiona do obiektów liniowych po wybudowaniu posłużą  do naliczenia i wypłaty odszkodowań za zajęcie pasa montażowego. </w:t>
      </w:r>
    </w:p>
    <w:p w14:paraId="14EC7141" w14:textId="77777777" w:rsidR="0089631E" w:rsidRPr="00BA3EAD" w:rsidRDefault="0089631E" w:rsidP="00BA3EAD">
      <w:pPr>
        <w:numPr>
          <w:ilvl w:val="0"/>
          <w:numId w:val="2"/>
        </w:numPr>
        <w:spacing w:after="0"/>
        <w:ind w:left="284" w:hanging="284"/>
        <w:contextualSpacing/>
        <w:jc w:val="both"/>
        <w:rPr>
          <w:rFonts w:ascii="Century Gothic" w:eastAsia="Times New Roman" w:hAnsi="Century Gothic" w:cs="Times New Roman"/>
          <w:sz w:val="20"/>
          <w:szCs w:val="20"/>
          <w:lang w:eastAsia="pl-PL"/>
        </w:rPr>
      </w:pPr>
      <w:r w:rsidRPr="00BA3EAD">
        <w:rPr>
          <w:rFonts w:ascii="Century Gothic" w:eastAsia="Times New Roman" w:hAnsi="Century Gothic" w:cs="Times New Roman"/>
          <w:sz w:val="20"/>
          <w:szCs w:val="20"/>
          <w:lang w:eastAsia="pl-PL"/>
        </w:rPr>
        <w:t xml:space="preserve">Wykonawca w ramach umowy zobligowany jest do umieszczania wszelkich redakcji mapowych na mapach zasadniczych poprzez umieszczanie nowych elementów na mapie bądź skorygowanie przebiegu błędnie naniesionej infrastruktury technicznej (elementów uzbrojenia technicznego i szczegółów sytuacyjnych) w opracowywanym pasie na wszystkich skalach mapowych prowadzonych przez Ośrodek Dokumentacji Geodezyjnej i Kartograficznej, na przykład dotyczy to sytuacji, w której Wykonawca przekaże </w:t>
      </w:r>
      <w:proofErr w:type="spellStart"/>
      <w:r w:rsidRPr="00BA3EAD">
        <w:rPr>
          <w:rFonts w:ascii="Century Gothic" w:eastAsia="Times New Roman" w:hAnsi="Century Gothic" w:cs="Times New Roman"/>
          <w:sz w:val="20"/>
          <w:szCs w:val="20"/>
          <w:lang w:eastAsia="pl-PL"/>
        </w:rPr>
        <w:t>zaklauzulowaną</w:t>
      </w:r>
      <w:proofErr w:type="spellEnd"/>
      <w:r w:rsidRPr="00BA3EAD">
        <w:rPr>
          <w:rFonts w:ascii="Century Gothic" w:eastAsia="Times New Roman" w:hAnsi="Century Gothic" w:cs="Times New Roman"/>
          <w:sz w:val="20"/>
          <w:szCs w:val="20"/>
          <w:lang w:eastAsia="pl-PL"/>
        </w:rPr>
        <w:t xml:space="preserve"> mapę z Ośrodka Dokumentacji Geodezyjnej i Kartograficznej w </w:t>
      </w:r>
      <w:r w:rsidRPr="00BA3EAD">
        <w:rPr>
          <w:rFonts w:ascii="Century Gothic" w:eastAsia="Times New Roman" w:hAnsi="Century Gothic" w:cs="Times New Roman"/>
          <w:sz w:val="20"/>
          <w:szCs w:val="20"/>
          <w:lang w:eastAsia="pl-PL"/>
        </w:rPr>
        <w:lastRenderedPageBreak/>
        <w:t xml:space="preserve">skali 1:1 000, a w zasobie Ośrodka Dokumentacji Geodezyjnej i Kartograficznej prowadzona jest także mapa w skali 1: 500 lub na odwrót, jeśli przekaże mapę w skali 1: 500, a w Ośrodka Dokumentacji Geodezyjnej i Kartograficznej jest również prowadzona mapa w skali 1:1 000, nawet w sytuacji gdy takiej mapy Wykonawca z różnych względów nie otrzymał z Ośrodkowi Dokumentacji Geodezyjnej i Kartograficznej. Potwierdzeniem poprawnie wykonanego zamówienia jest przekazanie </w:t>
      </w:r>
      <w:proofErr w:type="spellStart"/>
      <w:r w:rsidRPr="00BA3EAD">
        <w:rPr>
          <w:rFonts w:ascii="Century Gothic" w:eastAsia="Times New Roman" w:hAnsi="Century Gothic" w:cs="Times New Roman"/>
          <w:sz w:val="20"/>
          <w:szCs w:val="20"/>
          <w:lang w:eastAsia="pl-PL"/>
        </w:rPr>
        <w:t>zaklauzulowanej</w:t>
      </w:r>
      <w:proofErr w:type="spellEnd"/>
      <w:r w:rsidRPr="00BA3EAD">
        <w:rPr>
          <w:rFonts w:ascii="Century Gothic" w:eastAsia="Times New Roman" w:hAnsi="Century Gothic" w:cs="Times New Roman"/>
          <w:sz w:val="20"/>
          <w:szCs w:val="20"/>
          <w:lang w:eastAsia="pl-PL"/>
        </w:rPr>
        <w:t xml:space="preserve"> mapy zasadniczej we wszystkich skalach prowadzonych przez Ośrodek Dokumentacji Geodezyjnej i Kartograficznej.</w:t>
      </w:r>
    </w:p>
    <w:p w14:paraId="4DC19278" w14:textId="77777777" w:rsidR="0089631E" w:rsidRPr="00BA3EAD" w:rsidRDefault="0089631E" w:rsidP="00BA3EAD">
      <w:pPr>
        <w:numPr>
          <w:ilvl w:val="0"/>
          <w:numId w:val="2"/>
        </w:numPr>
        <w:spacing w:after="0"/>
        <w:ind w:left="284" w:hanging="284"/>
        <w:contextualSpacing/>
        <w:jc w:val="both"/>
        <w:rPr>
          <w:rFonts w:ascii="Century Gothic" w:eastAsia="Times New Roman" w:hAnsi="Century Gothic" w:cs="Times New Roman"/>
          <w:sz w:val="20"/>
          <w:szCs w:val="20"/>
          <w:lang w:eastAsia="pl-PL"/>
        </w:rPr>
      </w:pPr>
      <w:r w:rsidRPr="00BA3EAD">
        <w:rPr>
          <w:rFonts w:ascii="Century Gothic" w:eastAsia="Times New Roman" w:hAnsi="Century Gothic" w:cs="Times New Roman"/>
          <w:sz w:val="20"/>
          <w:szCs w:val="20"/>
          <w:lang w:eastAsia="pl-PL"/>
        </w:rPr>
        <w:t xml:space="preserve">W przypadku przewiertów sterowanych przebieg sieci gazowej należy umieścić z odpowiednią adnotacją na mapie w Ośrodku Dokumentacji Geodezyjnej i Kartograficznej i branżowej mapie hybrydowej na podstawie danych otrzymanych od wykonawcy danego przewiertu. </w:t>
      </w:r>
    </w:p>
    <w:p w14:paraId="161CE6DB" w14:textId="77777777" w:rsidR="0089631E" w:rsidRPr="00BA3EAD" w:rsidRDefault="0089631E" w:rsidP="00BA3EAD">
      <w:pPr>
        <w:numPr>
          <w:ilvl w:val="0"/>
          <w:numId w:val="2"/>
        </w:numPr>
        <w:spacing w:after="0"/>
        <w:ind w:left="284" w:hanging="284"/>
        <w:contextualSpacing/>
        <w:jc w:val="both"/>
        <w:rPr>
          <w:rFonts w:ascii="Century Gothic" w:eastAsia="Times New Roman" w:hAnsi="Century Gothic" w:cs="Times New Roman"/>
          <w:sz w:val="20"/>
          <w:szCs w:val="20"/>
          <w:lang w:eastAsia="pl-PL"/>
        </w:rPr>
      </w:pPr>
      <w:r w:rsidRPr="00BA3EAD">
        <w:rPr>
          <w:rFonts w:ascii="Century Gothic" w:eastAsia="Times New Roman" w:hAnsi="Century Gothic" w:cs="Times New Roman"/>
          <w:sz w:val="20"/>
          <w:szCs w:val="20"/>
          <w:lang w:eastAsia="pl-PL"/>
        </w:rPr>
        <w:t xml:space="preserve">W przypadku obiektów liniowych takich jak gazociąg, Wykonawca zobligowany zostanie do podawania w zestawieniu tabelarycznym długość gazociągu w podziale na obręby, gminy i powiaty w rozróżnieniu na odległości przestrzenne i zredukowane.  </w:t>
      </w:r>
    </w:p>
    <w:p w14:paraId="6DD10A31" w14:textId="77777777" w:rsidR="00D14DB0" w:rsidRPr="00BA3EAD" w:rsidRDefault="00D14DB0" w:rsidP="00BA3EAD">
      <w:pPr>
        <w:numPr>
          <w:ilvl w:val="0"/>
          <w:numId w:val="2"/>
        </w:numPr>
        <w:spacing w:after="0"/>
        <w:ind w:left="284" w:hanging="284"/>
        <w:contextualSpacing/>
        <w:jc w:val="both"/>
        <w:rPr>
          <w:rFonts w:ascii="Century Gothic" w:eastAsia="Times New Roman" w:hAnsi="Century Gothic" w:cs="Times New Roman"/>
          <w:sz w:val="20"/>
          <w:szCs w:val="20"/>
          <w:lang w:eastAsia="pl-PL"/>
        </w:rPr>
      </w:pPr>
      <w:r w:rsidRPr="00BA3EAD">
        <w:rPr>
          <w:rFonts w:ascii="Century Gothic" w:eastAsia="Times New Roman" w:hAnsi="Century Gothic" w:cs="Times New Roman"/>
          <w:sz w:val="20"/>
          <w:szCs w:val="20"/>
          <w:lang w:eastAsia="pl-PL"/>
        </w:rPr>
        <w:t>Dla następujących obiektów: stacja gazowa,  tłocznia, punkt pomiarowy, zespół zaporowo-upustowy, węzeł gazowy, należy dołączyć dokumentację zdjęciową, która zostanie wykonana dla całego obiektu, nawet w przypadku, gdy zleceniu podlega jedynie jego fragment. Przedmiotowa dokumentacja powinna zostać wykonana  zgodnie z pkt 4 (Standardy danych pomocniczych) „Zasady pozyskiwania i przechowywania danych przestrzennych Operatora Gazociągów Przesyłowych GAZ-SYSTEM S.A.,” stanowiącego załącznik nr 4 do wymagań zawartych pn. „Instrukcja w zakresie wymagań do projektowania infrastruktury systemu przesyłowego  Operatora Gazociągów Przesyłowych GAZ-SYSTEM S.A</w:t>
      </w:r>
    </w:p>
    <w:p w14:paraId="0780E135" w14:textId="77777777" w:rsidR="0089631E" w:rsidRPr="00BA3EAD" w:rsidRDefault="0089631E" w:rsidP="00BA3EAD">
      <w:pPr>
        <w:numPr>
          <w:ilvl w:val="0"/>
          <w:numId w:val="2"/>
        </w:numPr>
        <w:spacing w:after="0"/>
        <w:ind w:left="284" w:hanging="284"/>
        <w:contextualSpacing/>
        <w:jc w:val="both"/>
        <w:rPr>
          <w:rFonts w:ascii="Century Gothic" w:eastAsia="Times New Roman" w:hAnsi="Century Gothic" w:cs="Times New Roman"/>
          <w:sz w:val="20"/>
          <w:szCs w:val="20"/>
          <w:lang w:eastAsia="pl-PL"/>
        </w:rPr>
      </w:pPr>
      <w:r w:rsidRPr="00BA3EAD">
        <w:rPr>
          <w:rFonts w:ascii="Century Gothic" w:eastAsia="Times New Roman" w:hAnsi="Century Gothic" w:cs="Times New Roman"/>
          <w:sz w:val="20"/>
          <w:szCs w:val="20"/>
          <w:lang w:eastAsia="pl-PL"/>
        </w:rPr>
        <w:t xml:space="preserve">Szczegółowe wymagania dotyczące obsługi geodezyjnej stanowią </w:t>
      </w:r>
      <w:r w:rsidRPr="00BA3EAD">
        <w:rPr>
          <w:rFonts w:ascii="Century Gothic" w:eastAsia="Times New Roman" w:hAnsi="Century Gothic" w:cs="Times New Roman"/>
          <w:b/>
          <w:sz w:val="20"/>
          <w:szCs w:val="20"/>
          <w:lang w:eastAsia="pl-PL"/>
        </w:rPr>
        <w:t>Załącznik nr  1</w:t>
      </w:r>
      <w:r w:rsidR="00810A16" w:rsidRPr="00BA3EAD">
        <w:rPr>
          <w:rFonts w:ascii="Century Gothic" w:eastAsia="Times New Roman" w:hAnsi="Century Gothic" w:cs="Times New Roman"/>
          <w:b/>
          <w:sz w:val="20"/>
          <w:szCs w:val="20"/>
          <w:lang w:eastAsia="pl-PL"/>
        </w:rPr>
        <w:t xml:space="preserve"> </w:t>
      </w:r>
      <w:r w:rsidRPr="00BA3EAD">
        <w:rPr>
          <w:rFonts w:ascii="Century Gothic" w:eastAsia="Times New Roman" w:hAnsi="Century Gothic" w:cs="Times New Roman"/>
          <w:b/>
          <w:sz w:val="20"/>
          <w:szCs w:val="20"/>
          <w:lang w:eastAsia="pl-PL"/>
        </w:rPr>
        <w:t xml:space="preserve"> do niniejszego dokumentu. </w:t>
      </w:r>
    </w:p>
    <w:p w14:paraId="764C54D7" w14:textId="77777777" w:rsidR="008143BD" w:rsidRDefault="008143BD" w:rsidP="00BA3EAD">
      <w:pPr>
        <w:spacing w:after="0"/>
      </w:pPr>
    </w:p>
    <w:sectPr w:rsidR="008143BD">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29E2E" w14:textId="77777777" w:rsidR="00B65E32" w:rsidRDefault="00B65E32" w:rsidP="00ED3933">
      <w:pPr>
        <w:spacing w:after="0" w:line="240" w:lineRule="auto"/>
      </w:pPr>
      <w:r>
        <w:separator/>
      </w:r>
    </w:p>
  </w:endnote>
  <w:endnote w:type="continuationSeparator" w:id="0">
    <w:p w14:paraId="134636A9" w14:textId="77777777" w:rsidR="00B65E32" w:rsidRDefault="00B65E32" w:rsidP="00ED39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entury Gothic">
    <w:altName w:val="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2B1F8" w14:textId="63B4A537" w:rsidR="00ED3933" w:rsidRDefault="00ED3933">
    <w:pPr>
      <w:pStyle w:val="Stopka"/>
    </w:pPr>
    <w:r w:rsidRPr="00146DBB">
      <w:rPr>
        <w:rFonts w:ascii="Century Gothic" w:hAnsi="Century Gothic"/>
        <w:sz w:val="16"/>
        <w:szCs w:val="16"/>
      </w:rPr>
      <w:t>„Opracowanie projektu i roboty budowlane dla rozbiórki i budowy nowej stacji gazowej Q=630m</w:t>
    </w:r>
    <w:r w:rsidRPr="00132997">
      <w:rPr>
        <w:rFonts w:ascii="Century Gothic" w:hAnsi="Century Gothic"/>
        <w:sz w:val="16"/>
        <w:szCs w:val="16"/>
        <w:vertAlign w:val="superscript"/>
      </w:rPr>
      <w:t>3</w:t>
    </w:r>
    <w:r w:rsidRPr="00146DBB">
      <w:rPr>
        <w:rFonts w:ascii="Century Gothic" w:hAnsi="Century Gothic"/>
        <w:sz w:val="16"/>
        <w:szCs w:val="16"/>
      </w:rPr>
      <w:t>/h Staroźreby”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9ADD28" w14:textId="77777777" w:rsidR="00B65E32" w:rsidRDefault="00B65E32" w:rsidP="00ED3933">
      <w:pPr>
        <w:spacing w:after="0" w:line="240" w:lineRule="auto"/>
      </w:pPr>
      <w:r>
        <w:separator/>
      </w:r>
    </w:p>
  </w:footnote>
  <w:footnote w:type="continuationSeparator" w:id="0">
    <w:p w14:paraId="3FD9D9BB" w14:textId="77777777" w:rsidR="00B65E32" w:rsidRDefault="00B65E32" w:rsidP="00ED39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5200E8"/>
    <w:multiLevelType w:val="hybridMultilevel"/>
    <w:tmpl w:val="DC04014C"/>
    <w:lvl w:ilvl="0" w:tplc="B99C367A">
      <w:start w:val="1"/>
      <w:numFmt w:val="decimal"/>
      <w:lvlText w:val="%1)"/>
      <w:lvlJc w:val="left"/>
      <w:pPr>
        <w:ind w:left="1778"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6C32162B"/>
    <w:multiLevelType w:val="hybridMultilevel"/>
    <w:tmpl w:val="4F3AFC9E"/>
    <w:lvl w:ilvl="0" w:tplc="F5CC351E">
      <w:start w:val="1"/>
      <w:numFmt w:val="decimal"/>
      <w:lvlText w:val="%1."/>
      <w:lvlJc w:val="left"/>
      <w:pPr>
        <w:ind w:left="177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71741980">
    <w:abstractNumId w:val="1"/>
  </w:num>
  <w:num w:numId="2" w16cid:durableId="17560492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9631E"/>
    <w:rsid w:val="00810A16"/>
    <w:rsid w:val="008143BD"/>
    <w:rsid w:val="00895C86"/>
    <w:rsid w:val="0089631E"/>
    <w:rsid w:val="00AA6E8B"/>
    <w:rsid w:val="00B65E32"/>
    <w:rsid w:val="00BA3EAD"/>
    <w:rsid w:val="00D14DB0"/>
    <w:rsid w:val="00D45004"/>
    <w:rsid w:val="00D45CE4"/>
    <w:rsid w:val="00E34313"/>
    <w:rsid w:val="00ED3933"/>
    <w:rsid w:val="00F64516"/>
    <w:rsid w:val="00F908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A32A8"/>
  <w15:docId w15:val="{9D3C6B13-30B7-47ED-B369-4203C4849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89631E"/>
    <w:rPr>
      <w:sz w:val="16"/>
      <w:szCs w:val="16"/>
    </w:rPr>
  </w:style>
  <w:style w:type="paragraph" w:styleId="Tekstkomentarza">
    <w:name w:val="annotation text"/>
    <w:basedOn w:val="Normalny"/>
    <w:link w:val="TekstkomentarzaZnak"/>
    <w:uiPriority w:val="99"/>
    <w:semiHidden/>
    <w:unhideWhenUsed/>
    <w:rsid w:val="0089631E"/>
    <w:pPr>
      <w:spacing w:after="0" w:line="240" w:lineRule="auto"/>
    </w:pPr>
    <w:rPr>
      <w:rFonts w:ascii="Century Gothic" w:eastAsia="Times New Roman" w:hAnsi="Century Gothic" w:cs="Times New Roman"/>
      <w:sz w:val="20"/>
      <w:szCs w:val="20"/>
      <w:lang w:eastAsia="pl-PL"/>
    </w:rPr>
  </w:style>
  <w:style w:type="character" w:customStyle="1" w:styleId="TekstkomentarzaZnak">
    <w:name w:val="Tekst komentarza Znak"/>
    <w:basedOn w:val="Domylnaczcionkaakapitu"/>
    <w:link w:val="Tekstkomentarza"/>
    <w:uiPriority w:val="99"/>
    <w:semiHidden/>
    <w:rsid w:val="0089631E"/>
    <w:rPr>
      <w:rFonts w:ascii="Century Gothic" w:eastAsia="Times New Roman" w:hAnsi="Century Gothic" w:cs="Times New Roman"/>
      <w:sz w:val="20"/>
      <w:szCs w:val="20"/>
      <w:lang w:eastAsia="pl-PL"/>
    </w:rPr>
  </w:style>
  <w:style w:type="paragraph" w:styleId="Tekstdymka">
    <w:name w:val="Balloon Text"/>
    <w:basedOn w:val="Normalny"/>
    <w:link w:val="TekstdymkaZnak"/>
    <w:uiPriority w:val="99"/>
    <w:semiHidden/>
    <w:unhideWhenUsed/>
    <w:rsid w:val="0089631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9631E"/>
    <w:rPr>
      <w:rFonts w:ascii="Tahoma" w:hAnsi="Tahoma" w:cs="Tahoma"/>
      <w:sz w:val="16"/>
      <w:szCs w:val="16"/>
    </w:rPr>
  </w:style>
  <w:style w:type="paragraph" w:styleId="Nagwek">
    <w:name w:val="header"/>
    <w:basedOn w:val="Normalny"/>
    <w:link w:val="NagwekZnak"/>
    <w:uiPriority w:val="99"/>
    <w:unhideWhenUsed/>
    <w:rsid w:val="00ED393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D3933"/>
  </w:style>
  <w:style w:type="paragraph" w:styleId="Stopka">
    <w:name w:val="footer"/>
    <w:basedOn w:val="Normalny"/>
    <w:link w:val="StopkaZnak"/>
    <w:uiPriority w:val="99"/>
    <w:unhideWhenUsed/>
    <w:rsid w:val="00ED393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D39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714</Words>
  <Characters>4289</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
    </vt:vector>
  </TitlesOfParts>
  <Company>Gaz-System S.A.</Company>
  <LinksUpToDate>false</LinksUpToDate>
  <CharactersWithSpaces>4994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Matuszko - Cicha Anna</dc:creator>
  <cp:lastModifiedBy>Marczak Wojciech</cp:lastModifiedBy>
  <cp:revision>10</cp:revision>
  <dcterms:created xsi:type="dcterms:W3CDTF">2016-12-07T09:21:00Z</dcterms:created>
  <dcterms:modified xsi:type="dcterms:W3CDTF">2022-11-14T10:22:00Z</dcterms:modified>
</cp:coreProperties>
</file>