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ECE01" w14:textId="77777777" w:rsidR="007C2E85" w:rsidRPr="00B72C5C" w:rsidRDefault="007C2E85" w:rsidP="007C2E85">
      <w:pPr>
        <w:pStyle w:val="Akapitzlist"/>
        <w:keepNext/>
        <w:keepLines/>
        <w:numPr>
          <w:ilvl w:val="0"/>
          <w:numId w:val="1"/>
        </w:numPr>
        <w:shd w:val="clear" w:color="auto" w:fill="DEEAF6" w:themeFill="accent1" w:themeFillTint="33"/>
        <w:tabs>
          <w:tab w:val="right" w:pos="9072"/>
        </w:tabs>
        <w:spacing w:line="240" w:lineRule="auto"/>
        <w:ind w:left="567" w:right="1" w:hanging="567"/>
        <w:outlineLvl w:val="0"/>
        <w:rPr>
          <w:rFonts w:ascii="Verdana" w:hAnsi="Verdana"/>
          <w:sz w:val="18"/>
          <w:szCs w:val="18"/>
        </w:rPr>
      </w:pPr>
      <w:bookmarkStart w:id="0" w:name="_Toc110932020"/>
      <w:r w:rsidRPr="00B72C5C">
        <w:rPr>
          <w:rFonts w:ascii="Verdana" w:hAnsi="Verdana"/>
          <w:sz w:val="18"/>
          <w:szCs w:val="18"/>
        </w:rPr>
        <w:t>Wstęp</w:t>
      </w:r>
      <w:bookmarkEnd w:id="0"/>
    </w:p>
    <w:p w14:paraId="7901D23A" w14:textId="77777777" w:rsidR="007C2E85" w:rsidRPr="00B72C5C" w:rsidRDefault="007C2E85" w:rsidP="007C2E85">
      <w:pPr>
        <w:pStyle w:val="Akapitzlist"/>
        <w:rPr>
          <w:rFonts w:ascii="Verdana" w:hAnsi="Verdana"/>
          <w:sz w:val="18"/>
          <w:szCs w:val="18"/>
        </w:rPr>
      </w:pPr>
    </w:p>
    <w:p w14:paraId="55EB016A" w14:textId="1EB6B213" w:rsidR="007C2E85" w:rsidRPr="00B72C5C" w:rsidRDefault="007C2E85" w:rsidP="007C2E85">
      <w:pPr>
        <w:pStyle w:val="Akapitzlist"/>
        <w:spacing w:line="240" w:lineRule="auto"/>
        <w:ind w:left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 xml:space="preserve">Przedmiotem Zamówienia jest zakup wyposażenia </w:t>
      </w:r>
      <w:r w:rsidR="00107933">
        <w:rPr>
          <w:rFonts w:ascii="Verdana" w:hAnsi="Verdana"/>
          <w:sz w:val="18"/>
          <w:szCs w:val="18"/>
        </w:rPr>
        <w:t>laboratorium radiowego</w:t>
      </w:r>
      <w:r w:rsidR="00250DBF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 xml:space="preserve">w postaci </w:t>
      </w:r>
      <w:r w:rsidR="00592190" w:rsidRPr="00592190">
        <w:rPr>
          <w:rFonts w:ascii="Verdana" w:hAnsi="Verdana"/>
          <w:sz w:val="18"/>
          <w:szCs w:val="18"/>
        </w:rPr>
        <w:t>programowalnego tłumika sygnału radiowego dla sieci LTE450 Band 31 3GPP wraz z akcesoriami</w:t>
      </w:r>
      <w:r w:rsidR="00250DBF">
        <w:rPr>
          <w:rFonts w:ascii="Verdana" w:hAnsi="Verdana"/>
          <w:sz w:val="18"/>
          <w:szCs w:val="18"/>
        </w:rPr>
        <w:t>.</w:t>
      </w:r>
    </w:p>
    <w:p w14:paraId="33A23393" w14:textId="77777777" w:rsidR="007C2E85" w:rsidRPr="00B72C5C" w:rsidRDefault="007C2E85" w:rsidP="007C2E85">
      <w:pPr>
        <w:pStyle w:val="Akapitzlist"/>
        <w:rPr>
          <w:rFonts w:ascii="Verdana" w:hAnsi="Verdana"/>
          <w:sz w:val="18"/>
          <w:szCs w:val="18"/>
        </w:rPr>
      </w:pPr>
    </w:p>
    <w:p w14:paraId="70A14FBD" w14:textId="77777777" w:rsidR="007C2E85" w:rsidRPr="00B72C5C" w:rsidRDefault="007C2E85" w:rsidP="007C2E85">
      <w:pPr>
        <w:pStyle w:val="Akapitzlist"/>
        <w:keepNext/>
        <w:keepLines/>
        <w:numPr>
          <w:ilvl w:val="1"/>
          <w:numId w:val="1"/>
        </w:numPr>
        <w:shd w:val="clear" w:color="auto" w:fill="DEEAF6" w:themeFill="accent1" w:themeFillTint="33"/>
        <w:tabs>
          <w:tab w:val="right" w:pos="9072"/>
        </w:tabs>
        <w:spacing w:line="240" w:lineRule="auto"/>
        <w:ind w:left="567" w:right="1" w:hanging="567"/>
        <w:outlineLvl w:val="0"/>
        <w:rPr>
          <w:rFonts w:ascii="Verdana" w:hAnsi="Verdana"/>
          <w:sz w:val="18"/>
          <w:szCs w:val="18"/>
        </w:rPr>
      </w:pPr>
      <w:bookmarkStart w:id="1" w:name="_Toc110932021"/>
      <w:r w:rsidRPr="00B72C5C">
        <w:rPr>
          <w:rFonts w:ascii="Verdana" w:hAnsi="Verdana"/>
          <w:sz w:val="18"/>
          <w:szCs w:val="18"/>
        </w:rPr>
        <w:t>Zastosowane skróty i pojęcia</w:t>
      </w:r>
      <w:bookmarkEnd w:id="1"/>
    </w:p>
    <w:p w14:paraId="777CEE7B" w14:textId="68FD498F" w:rsidR="007C2E85" w:rsidRDefault="007C2E85" w:rsidP="007C2E85">
      <w:pPr>
        <w:pStyle w:val="Akapitzlist"/>
        <w:ind w:left="1077"/>
        <w:rPr>
          <w:rFonts w:ascii="Verdana" w:hAnsi="Verdana"/>
          <w:sz w:val="18"/>
          <w:szCs w:val="18"/>
        </w:rPr>
      </w:pPr>
    </w:p>
    <w:p w14:paraId="57FBE07E" w14:textId="77777777" w:rsidR="002C3D1D" w:rsidRPr="00B72C5C" w:rsidRDefault="002C3D1D" w:rsidP="007C2E85">
      <w:pPr>
        <w:pStyle w:val="Akapitzlist"/>
        <w:ind w:left="1077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8"/>
        <w:gridCol w:w="7464"/>
      </w:tblGrid>
      <w:tr w:rsidR="007C2E85" w:rsidRPr="00B72C5C" w14:paraId="72A18B69" w14:textId="77777777" w:rsidTr="00D04D43">
        <w:tc>
          <w:tcPr>
            <w:tcW w:w="0" w:type="auto"/>
            <w:shd w:val="clear" w:color="auto" w:fill="DEEAF6" w:themeFill="accent1" w:themeFillTint="33"/>
            <w:vAlign w:val="center"/>
          </w:tcPr>
          <w:p w14:paraId="0ED5E963" w14:textId="77777777" w:rsidR="007C2E85" w:rsidRPr="00B72C5C" w:rsidRDefault="007C2E85" w:rsidP="00CD23B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2C5C">
              <w:rPr>
                <w:rFonts w:ascii="Verdana" w:hAnsi="Verdana"/>
                <w:b/>
                <w:bCs/>
                <w:sz w:val="18"/>
                <w:szCs w:val="18"/>
              </w:rPr>
              <w:t>Pojęcie/skrót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3F672274" w14:textId="77777777" w:rsidR="007C2E85" w:rsidRPr="00B72C5C" w:rsidRDefault="007C2E85" w:rsidP="00CD23BA">
            <w:pPr>
              <w:tabs>
                <w:tab w:val="right" w:pos="9072"/>
              </w:tabs>
              <w:spacing w:before="60" w:after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72C5C">
              <w:rPr>
                <w:rFonts w:ascii="Verdana" w:hAnsi="Verdana"/>
                <w:b/>
                <w:bCs/>
                <w:sz w:val="18"/>
                <w:szCs w:val="18"/>
              </w:rPr>
              <w:t>Definicja</w:t>
            </w:r>
          </w:p>
        </w:tc>
      </w:tr>
      <w:tr w:rsidR="007C2E85" w:rsidRPr="00B72C5C" w14:paraId="53109F59" w14:textId="77777777" w:rsidTr="00CD23BA">
        <w:tc>
          <w:tcPr>
            <w:tcW w:w="0" w:type="auto"/>
            <w:vAlign w:val="center"/>
          </w:tcPr>
          <w:p w14:paraId="4627887A" w14:textId="77777777" w:rsidR="007C2E85" w:rsidRPr="00B72C5C" w:rsidRDefault="007C2E85" w:rsidP="00CD23BA">
            <w:pPr>
              <w:tabs>
                <w:tab w:val="right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B72C5C">
              <w:rPr>
                <w:rFonts w:ascii="Verdana" w:hAnsi="Verdana"/>
                <w:sz w:val="18"/>
                <w:szCs w:val="18"/>
              </w:rPr>
              <w:t>Dokumentacja</w:t>
            </w:r>
          </w:p>
        </w:tc>
        <w:tc>
          <w:tcPr>
            <w:tcW w:w="0" w:type="auto"/>
            <w:vAlign w:val="center"/>
          </w:tcPr>
          <w:p w14:paraId="75AB98C4" w14:textId="77777777" w:rsidR="007C2E85" w:rsidRPr="00B72C5C" w:rsidRDefault="007C2E85" w:rsidP="00CD23BA">
            <w:pPr>
              <w:tabs>
                <w:tab w:val="right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B72C5C">
              <w:rPr>
                <w:rFonts w:ascii="Verdana" w:hAnsi="Verdana"/>
                <w:sz w:val="18"/>
                <w:szCs w:val="18"/>
              </w:rPr>
              <w:t>dokumenty</w:t>
            </w:r>
            <w:r w:rsidRPr="00B72C5C">
              <w:rPr>
                <w:rFonts w:ascii="Verdana" w:hAnsi="Verdana" w:cs="Calibri"/>
                <w:color w:val="000000" w:themeColor="text1"/>
                <w:sz w:val="18"/>
                <w:szCs w:val="18"/>
                <w:lang w:eastAsia="pl-PL"/>
              </w:rPr>
              <w:t>, opracowania, procedury, instrukcje, specyfikacje, rysunki, diagramy, certyfikaty, itp., w postaci elektronicznej lub papierowej.</w:t>
            </w:r>
          </w:p>
        </w:tc>
      </w:tr>
      <w:tr w:rsidR="007C2E85" w:rsidRPr="00B72C5C" w14:paraId="62611003" w14:textId="77777777" w:rsidTr="00CD23BA">
        <w:tc>
          <w:tcPr>
            <w:tcW w:w="0" w:type="auto"/>
            <w:vAlign w:val="center"/>
          </w:tcPr>
          <w:p w14:paraId="3FBDF4D2" w14:textId="77777777" w:rsidR="007C2E85" w:rsidRPr="00B72C5C" w:rsidRDefault="007C2E85" w:rsidP="00CD23BA">
            <w:pPr>
              <w:tabs>
                <w:tab w:val="right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B72C5C">
              <w:rPr>
                <w:rFonts w:ascii="Verdana" w:hAnsi="Verdana"/>
                <w:sz w:val="18"/>
                <w:szCs w:val="18"/>
              </w:rPr>
              <w:t>Gwarancja</w:t>
            </w:r>
          </w:p>
        </w:tc>
        <w:tc>
          <w:tcPr>
            <w:tcW w:w="0" w:type="auto"/>
            <w:vAlign w:val="center"/>
          </w:tcPr>
          <w:p w14:paraId="7565EDCF" w14:textId="4097E5A9" w:rsidR="007C2E85" w:rsidRPr="00B72C5C" w:rsidRDefault="007C2E85" w:rsidP="00CD23BA">
            <w:pPr>
              <w:tabs>
                <w:tab w:val="right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B72C5C">
              <w:rPr>
                <w:rFonts w:ascii="Verdana" w:hAnsi="Verdana"/>
                <w:sz w:val="18"/>
                <w:szCs w:val="18"/>
              </w:rPr>
              <w:t>oznacza zobowiązanie Wykonawcy do usunięcia wad Sprzętu</w:t>
            </w:r>
            <w:r w:rsidR="00250DB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72C5C">
              <w:rPr>
                <w:rFonts w:ascii="Verdana" w:hAnsi="Verdana"/>
                <w:sz w:val="18"/>
                <w:szCs w:val="18"/>
              </w:rPr>
              <w:t>w ramach wynagrodzenia z tytułu wykonania Umowy.</w:t>
            </w:r>
          </w:p>
        </w:tc>
      </w:tr>
      <w:tr w:rsidR="007C2E85" w:rsidRPr="00B72C5C" w14:paraId="1FCF743C" w14:textId="77777777" w:rsidTr="00CD23BA">
        <w:tc>
          <w:tcPr>
            <w:tcW w:w="0" w:type="auto"/>
            <w:vAlign w:val="center"/>
          </w:tcPr>
          <w:p w14:paraId="51D59361" w14:textId="77777777" w:rsidR="007C2E85" w:rsidRPr="00B72C5C" w:rsidRDefault="007C2E85" w:rsidP="00CD23BA">
            <w:pPr>
              <w:rPr>
                <w:rFonts w:ascii="Verdana" w:hAnsi="Verdana"/>
                <w:sz w:val="18"/>
                <w:szCs w:val="18"/>
              </w:rPr>
            </w:pPr>
            <w:r w:rsidRPr="00B72C5C">
              <w:rPr>
                <w:rFonts w:ascii="Verdana" w:hAnsi="Verdana"/>
                <w:sz w:val="18"/>
                <w:szCs w:val="18"/>
              </w:rPr>
              <w:t>Sprzęt</w:t>
            </w:r>
          </w:p>
        </w:tc>
        <w:tc>
          <w:tcPr>
            <w:tcW w:w="0" w:type="auto"/>
            <w:vAlign w:val="center"/>
          </w:tcPr>
          <w:p w14:paraId="0983C955" w14:textId="39FF081E" w:rsidR="007C2E85" w:rsidRPr="00B72C5C" w:rsidRDefault="00F47ECD" w:rsidP="00CD23BA">
            <w:pPr>
              <w:tabs>
                <w:tab w:val="right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</w:t>
            </w:r>
            <w:r w:rsidR="007C2E85" w:rsidRPr="00B72C5C">
              <w:rPr>
                <w:rFonts w:ascii="Verdana" w:hAnsi="Verdana"/>
                <w:sz w:val="18"/>
                <w:szCs w:val="18"/>
              </w:rPr>
              <w:t>rządzenia</w:t>
            </w:r>
            <w:r>
              <w:rPr>
                <w:rFonts w:ascii="Verdana" w:hAnsi="Verdana"/>
                <w:sz w:val="18"/>
                <w:szCs w:val="18"/>
              </w:rPr>
              <w:t xml:space="preserve"> i akcesoria</w:t>
            </w:r>
            <w:r w:rsidR="007C2E85" w:rsidRPr="00B72C5C">
              <w:rPr>
                <w:rFonts w:ascii="Verdana" w:hAnsi="Verdana"/>
                <w:sz w:val="18"/>
                <w:szCs w:val="18"/>
              </w:rPr>
              <w:t xml:space="preserve"> dostarczane w ramach niniejszego zamówienia, fabrycznie nowe, </w:t>
            </w:r>
            <w:r w:rsidR="007C2E85" w:rsidRPr="00B72C5C">
              <w:rPr>
                <w:rFonts w:ascii="Verdana" w:hAnsi="Verdana" w:cs="Calibri"/>
                <w:color w:val="000000"/>
                <w:sz w:val="18"/>
                <w:szCs w:val="18"/>
              </w:rPr>
              <w:t>nieużywane wcześniej w innych projektach, wyprodukowane nie wcześniej niż 12 miesięcy od daty dostarczenia urządzeń, sprzedawane w autoryzowanym kanale sprzedaży producenta. Nie dopuszcza się urządzeń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i akcesoriów</w:t>
            </w:r>
            <w:r w:rsidR="007C2E85" w:rsidRPr="00B72C5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odnawianych, demonstracyjnych lub powystawowych oraz posiadających wady prawne.</w:t>
            </w:r>
          </w:p>
        </w:tc>
      </w:tr>
      <w:tr w:rsidR="007C2E85" w:rsidRPr="00B72C5C" w14:paraId="5571EB7C" w14:textId="77777777" w:rsidTr="00CD23BA">
        <w:tc>
          <w:tcPr>
            <w:tcW w:w="0" w:type="auto"/>
            <w:vAlign w:val="center"/>
          </w:tcPr>
          <w:p w14:paraId="74AAD7AB" w14:textId="77777777" w:rsidR="007C2E85" w:rsidRPr="00B72C5C" w:rsidRDefault="007C2E85" w:rsidP="00CD23BA">
            <w:pPr>
              <w:tabs>
                <w:tab w:val="right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B72C5C">
              <w:rPr>
                <w:rFonts w:ascii="Verdana" w:hAnsi="Verdana"/>
                <w:sz w:val="18"/>
                <w:szCs w:val="18"/>
              </w:rPr>
              <w:t>Umowa</w:t>
            </w:r>
          </w:p>
        </w:tc>
        <w:tc>
          <w:tcPr>
            <w:tcW w:w="0" w:type="auto"/>
            <w:vAlign w:val="center"/>
          </w:tcPr>
          <w:p w14:paraId="5920ABF6" w14:textId="24F0BD0B" w:rsidR="007C2E85" w:rsidRPr="00B72C5C" w:rsidRDefault="007C2E85" w:rsidP="00F47ECD">
            <w:pPr>
              <w:tabs>
                <w:tab w:val="right" w:pos="9072"/>
              </w:tabs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B72C5C">
              <w:rPr>
                <w:rFonts w:ascii="Verdana" w:hAnsi="Verdana"/>
                <w:sz w:val="18"/>
                <w:szCs w:val="18"/>
              </w:rPr>
              <w:t>umowa</w:t>
            </w:r>
            <w:r w:rsidRPr="00B72C5C">
              <w:rPr>
                <w:rFonts w:ascii="Verdana" w:hAnsi="Verdana" w:cs="Calibri"/>
                <w:color w:val="000000" w:themeColor="text1"/>
                <w:sz w:val="18"/>
                <w:szCs w:val="18"/>
                <w:lang w:eastAsia="pl-PL"/>
              </w:rPr>
              <w:t xml:space="preserve"> na sprzedaż i dostarczenie </w:t>
            </w:r>
            <w:r w:rsidR="00F47ECD">
              <w:rPr>
                <w:rFonts w:ascii="Verdana" w:hAnsi="Verdana" w:cs="Calibri"/>
                <w:color w:val="000000" w:themeColor="text1"/>
                <w:sz w:val="18"/>
                <w:szCs w:val="18"/>
                <w:lang w:eastAsia="pl-PL"/>
              </w:rPr>
              <w:t>Sprzętu</w:t>
            </w:r>
            <w:r w:rsidRPr="00B72C5C">
              <w:rPr>
                <w:rFonts w:ascii="Verdana" w:hAnsi="Verdana" w:cs="Calibri"/>
                <w:color w:val="000000" w:themeColor="text1"/>
                <w:sz w:val="18"/>
                <w:szCs w:val="18"/>
                <w:lang w:eastAsia="pl-PL"/>
              </w:rPr>
              <w:t xml:space="preserve"> oraz świadczenie usług  Gwarancji, której załącznikiem jest m.in. niniejszy dokument.</w:t>
            </w:r>
          </w:p>
        </w:tc>
      </w:tr>
    </w:tbl>
    <w:p w14:paraId="63026FC3" w14:textId="5252B33C" w:rsidR="007C2E85" w:rsidRDefault="007C2E85" w:rsidP="007C2E85">
      <w:pPr>
        <w:pStyle w:val="Akapitzlist"/>
        <w:ind w:left="1080"/>
        <w:rPr>
          <w:rFonts w:ascii="Verdana" w:hAnsi="Verdana"/>
          <w:sz w:val="18"/>
          <w:szCs w:val="18"/>
        </w:rPr>
      </w:pPr>
    </w:p>
    <w:p w14:paraId="49B2D9EA" w14:textId="592C3028" w:rsidR="002C3D1D" w:rsidRDefault="002C3D1D" w:rsidP="007C2E85">
      <w:pPr>
        <w:pStyle w:val="Akapitzlist"/>
        <w:ind w:left="1080"/>
        <w:rPr>
          <w:rFonts w:ascii="Verdana" w:hAnsi="Verdana"/>
          <w:sz w:val="18"/>
          <w:szCs w:val="18"/>
        </w:rPr>
      </w:pPr>
    </w:p>
    <w:p w14:paraId="0F406645" w14:textId="77777777" w:rsidR="002C3D1D" w:rsidRPr="00B72C5C" w:rsidRDefault="002C3D1D" w:rsidP="007C2E85">
      <w:pPr>
        <w:pStyle w:val="Akapitzlist"/>
        <w:ind w:left="1080"/>
        <w:rPr>
          <w:rFonts w:ascii="Verdana" w:hAnsi="Verdana"/>
          <w:sz w:val="18"/>
          <w:szCs w:val="18"/>
        </w:rPr>
      </w:pPr>
    </w:p>
    <w:p w14:paraId="6F86697F" w14:textId="77777777" w:rsidR="007C2E85" w:rsidRPr="00B72C5C" w:rsidRDefault="007C2E85" w:rsidP="007C2E85">
      <w:pPr>
        <w:pStyle w:val="Akapitzlist"/>
        <w:keepNext/>
        <w:keepLines/>
        <w:numPr>
          <w:ilvl w:val="1"/>
          <w:numId w:val="1"/>
        </w:numPr>
        <w:shd w:val="clear" w:color="auto" w:fill="DEEAF6" w:themeFill="accent1" w:themeFillTint="33"/>
        <w:tabs>
          <w:tab w:val="right" w:pos="9072"/>
        </w:tabs>
        <w:spacing w:before="120" w:after="120" w:line="240" w:lineRule="auto"/>
        <w:ind w:left="567" w:hanging="567"/>
        <w:contextualSpacing w:val="0"/>
        <w:outlineLvl w:val="0"/>
        <w:rPr>
          <w:rFonts w:ascii="Verdana" w:hAnsi="Verdana"/>
          <w:sz w:val="18"/>
          <w:szCs w:val="18"/>
        </w:rPr>
      </w:pPr>
      <w:bookmarkStart w:id="2" w:name="_Toc110932022"/>
      <w:r w:rsidRPr="00B72C5C">
        <w:rPr>
          <w:rFonts w:ascii="Verdana" w:hAnsi="Verdana"/>
          <w:sz w:val="18"/>
          <w:szCs w:val="18"/>
        </w:rPr>
        <w:t>Przedmiot zamówienia</w:t>
      </w:r>
      <w:bookmarkEnd w:id="2"/>
    </w:p>
    <w:p w14:paraId="128A2F4A" w14:textId="77777777" w:rsidR="007C2E85" w:rsidRPr="00B72C5C" w:rsidRDefault="007C2E85" w:rsidP="002A4315">
      <w:pPr>
        <w:pStyle w:val="Akapitzlist"/>
        <w:spacing w:before="120" w:after="120" w:line="240" w:lineRule="auto"/>
        <w:ind w:left="0"/>
        <w:contextualSpacing w:val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Przedmiot zamówienia obejmuje:</w:t>
      </w:r>
    </w:p>
    <w:p w14:paraId="5A44F0FD" w14:textId="62A7453F" w:rsidR="007C2E85" w:rsidRPr="00B72C5C" w:rsidRDefault="007C2E85" w:rsidP="002A4315">
      <w:pPr>
        <w:pStyle w:val="Akapitzlist"/>
        <w:numPr>
          <w:ilvl w:val="2"/>
          <w:numId w:val="1"/>
        </w:numPr>
        <w:spacing w:after="160" w:line="259" w:lineRule="auto"/>
        <w:ind w:left="1418" w:hanging="85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dostawę Sprzętu</w:t>
      </w:r>
      <w:r w:rsidRPr="00B72C5C">
        <w:rPr>
          <w:rFonts w:ascii="Verdana" w:hAnsi="Verdana"/>
          <w:sz w:val="18"/>
          <w:szCs w:val="18"/>
        </w:rPr>
        <w:t xml:space="preserve"> (zgodn</w:t>
      </w:r>
      <w:r w:rsidR="00AF208C">
        <w:rPr>
          <w:rFonts w:ascii="Verdana" w:hAnsi="Verdana"/>
          <w:sz w:val="18"/>
          <w:szCs w:val="18"/>
        </w:rPr>
        <w:t>ie z Tabelą nr 1 w punkcie 1.5);</w:t>
      </w:r>
    </w:p>
    <w:p w14:paraId="21DE0236" w14:textId="7E107882" w:rsidR="007C2E85" w:rsidRPr="007C2E85" w:rsidRDefault="007C2E85" w:rsidP="002A4315">
      <w:pPr>
        <w:pStyle w:val="Akapitzlist"/>
        <w:numPr>
          <w:ilvl w:val="2"/>
          <w:numId w:val="1"/>
        </w:numPr>
        <w:spacing w:after="160" w:line="259" w:lineRule="auto"/>
        <w:ind w:left="1418" w:hanging="851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 xml:space="preserve">udzielenie przez Wykonawcę Gwarancji dla dostarczonego </w:t>
      </w:r>
      <w:r>
        <w:rPr>
          <w:rFonts w:ascii="Verdana" w:hAnsi="Verdana"/>
          <w:sz w:val="18"/>
          <w:szCs w:val="18"/>
        </w:rPr>
        <w:t>Sprz</w:t>
      </w:r>
      <w:r w:rsidR="00115A47">
        <w:rPr>
          <w:rFonts w:ascii="Verdana" w:hAnsi="Verdana"/>
          <w:sz w:val="18"/>
          <w:szCs w:val="18"/>
        </w:rPr>
        <w:t>ętu (zgodnie z punktem 3</w:t>
      </w:r>
      <w:r w:rsidR="00AF208C">
        <w:rPr>
          <w:rFonts w:ascii="Verdana" w:hAnsi="Verdana"/>
          <w:sz w:val="18"/>
          <w:szCs w:val="18"/>
        </w:rPr>
        <w:t>);</w:t>
      </w:r>
    </w:p>
    <w:p w14:paraId="5D07A576" w14:textId="2E2AD3A3" w:rsidR="007C2E85" w:rsidRPr="00B72C5C" w:rsidDel="00526792" w:rsidRDefault="007C2E85" w:rsidP="002A4315">
      <w:pPr>
        <w:pStyle w:val="Akapitzlist"/>
        <w:numPr>
          <w:ilvl w:val="2"/>
          <w:numId w:val="1"/>
        </w:numPr>
        <w:spacing w:after="160" w:line="259" w:lineRule="auto"/>
        <w:ind w:left="1418" w:hanging="851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uczestnictwo w procedurze odbioru przedmiotu</w:t>
      </w:r>
      <w:r>
        <w:rPr>
          <w:rFonts w:ascii="Verdana" w:hAnsi="Verdana"/>
          <w:sz w:val="18"/>
          <w:szCs w:val="18"/>
        </w:rPr>
        <w:t xml:space="preserve"> zamówienia (zgodnie z punktem </w:t>
      </w:r>
      <w:r w:rsidR="00115A47">
        <w:rPr>
          <w:rFonts w:ascii="Verdana" w:hAnsi="Verdana"/>
          <w:sz w:val="18"/>
          <w:szCs w:val="18"/>
        </w:rPr>
        <w:t>2</w:t>
      </w:r>
      <w:r w:rsidR="00AF208C">
        <w:rPr>
          <w:rFonts w:ascii="Verdana" w:hAnsi="Verdana"/>
          <w:sz w:val="18"/>
          <w:szCs w:val="18"/>
        </w:rPr>
        <w:t>);</w:t>
      </w:r>
    </w:p>
    <w:p w14:paraId="569324A7" w14:textId="6E9FC18F" w:rsidR="007B38D8" w:rsidRPr="00592190" w:rsidRDefault="007C2E85" w:rsidP="00592190">
      <w:pPr>
        <w:pStyle w:val="Akapitzlist"/>
        <w:numPr>
          <w:ilvl w:val="2"/>
          <w:numId w:val="1"/>
        </w:numPr>
        <w:spacing w:before="120" w:line="240" w:lineRule="auto"/>
        <w:ind w:left="1418" w:hanging="851"/>
        <w:contextualSpacing w:val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dostarczenie przez Wykon</w:t>
      </w:r>
      <w:r>
        <w:rPr>
          <w:rFonts w:ascii="Verdana" w:hAnsi="Verdana"/>
          <w:sz w:val="18"/>
          <w:szCs w:val="18"/>
        </w:rPr>
        <w:t>awcę Dokumentacji dla Sprzętu</w:t>
      </w:r>
      <w:r w:rsidRPr="00B72C5C">
        <w:rPr>
          <w:rFonts w:ascii="Verdana" w:hAnsi="Verdana"/>
          <w:sz w:val="18"/>
          <w:szCs w:val="18"/>
        </w:rPr>
        <w:t xml:space="preserve"> (zgodnie z punktem </w:t>
      </w:r>
      <w:r w:rsidR="00115A47">
        <w:rPr>
          <w:rFonts w:ascii="Verdana" w:hAnsi="Verdana"/>
          <w:sz w:val="18"/>
          <w:szCs w:val="18"/>
        </w:rPr>
        <w:t>4</w:t>
      </w:r>
      <w:r w:rsidR="007B38D8">
        <w:rPr>
          <w:rFonts w:ascii="Verdana" w:hAnsi="Verdana"/>
          <w:sz w:val="18"/>
          <w:szCs w:val="18"/>
        </w:rPr>
        <w:t>);</w:t>
      </w:r>
    </w:p>
    <w:p w14:paraId="49B9757C" w14:textId="77777777" w:rsidR="007C2E85" w:rsidRPr="00B72C5C" w:rsidRDefault="007C2E85" w:rsidP="007C2E85">
      <w:pPr>
        <w:pStyle w:val="Akapitzlist"/>
        <w:keepNext/>
        <w:keepLines/>
        <w:numPr>
          <w:ilvl w:val="1"/>
          <w:numId w:val="1"/>
        </w:numPr>
        <w:shd w:val="clear" w:color="auto" w:fill="DEEAF6" w:themeFill="accent1" w:themeFillTint="33"/>
        <w:tabs>
          <w:tab w:val="right" w:pos="9072"/>
        </w:tabs>
        <w:spacing w:before="120" w:after="120" w:line="240" w:lineRule="auto"/>
        <w:ind w:left="567" w:hanging="567"/>
        <w:contextualSpacing w:val="0"/>
        <w:outlineLvl w:val="0"/>
        <w:rPr>
          <w:rFonts w:ascii="Verdana" w:hAnsi="Verdana"/>
          <w:sz w:val="18"/>
          <w:szCs w:val="18"/>
        </w:rPr>
      </w:pPr>
      <w:bookmarkStart w:id="3" w:name="_Toc110932023"/>
      <w:r w:rsidRPr="00B72C5C">
        <w:rPr>
          <w:rFonts w:ascii="Verdana" w:hAnsi="Verdana"/>
          <w:sz w:val="18"/>
          <w:szCs w:val="18"/>
        </w:rPr>
        <w:t>Termin realizacji</w:t>
      </w:r>
      <w:bookmarkEnd w:id="3"/>
    </w:p>
    <w:p w14:paraId="6ADCECA9" w14:textId="01E58815" w:rsidR="007C2E85" w:rsidRPr="00B72C5C" w:rsidRDefault="007C2E85" w:rsidP="007C2E85">
      <w:pPr>
        <w:pStyle w:val="Akapitzlist"/>
        <w:spacing w:before="120" w:after="120" w:line="240" w:lineRule="auto"/>
        <w:ind w:left="0"/>
        <w:contextualSpacing w:val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 xml:space="preserve">Zamawiający wymaga aby przedmiot zamówienia dostarczony był w terminie </w:t>
      </w:r>
      <w:r w:rsidRPr="0036537D">
        <w:rPr>
          <w:rFonts w:ascii="Verdana" w:hAnsi="Verdana"/>
          <w:sz w:val="18"/>
          <w:szCs w:val="18"/>
        </w:rPr>
        <w:t>do 3 miesięcy</w:t>
      </w:r>
      <w:r w:rsidRPr="00B72C5C">
        <w:rPr>
          <w:rFonts w:ascii="Verdana" w:hAnsi="Verdana"/>
          <w:sz w:val="18"/>
          <w:szCs w:val="18"/>
        </w:rPr>
        <w:t xml:space="preserve"> od daty </w:t>
      </w:r>
      <w:r w:rsidR="00AC513F">
        <w:rPr>
          <w:rFonts w:ascii="Verdana" w:hAnsi="Verdana"/>
          <w:sz w:val="18"/>
          <w:szCs w:val="18"/>
        </w:rPr>
        <w:t>podpisania Umowy.</w:t>
      </w:r>
    </w:p>
    <w:p w14:paraId="38700EB3" w14:textId="77777777" w:rsidR="007C2E85" w:rsidRPr="00B72C5C" w:rsidRDefault="007C2E85" w:rsidP="007C2E85">
      <w:pPr>
        <w:pStyle w:val="Akapitzlist"/>
        <w:keepNext/>
        <w:keepLines/>
        <w:numPr>
          <w:ilvl w:val="1"/>
          <w:numId w:val="1"/>
        </w:numPr>
        <w:shd w:val="clear" w:color="auto" w:fill="DEEAF6" w:themeFill="accent1" w:themeFillTint="33"/>
        <w:tabs>
          <w:tab w:val="right" w:pos="9072"/>
        </w:tabs>
        <w:spacing w:line="240" w:lineRule="auto"/>
        <w:ind w:left="567" w:right="1" w:hanging="567"/>
        <w:outlineLvl w:val="0"/>
        <w:rPr>
          <w:rFonts w:ascii="Verdana" w:hAnsi="Verdana"/>
          <w:sz w:val="18"/>
          <w:szCs w:val="18"/>
        </w:rPr>
      </w:pPr>
      <w:bookmarkStart w:id="4" w:name="_Toc110932024"/>
      <w:r w:rsidRPr="00B72C5C">
        <w:rPr>
          <w:rFonts w:ascii="Verdana" w:hAnsi="Verdana"/>
          <w:sz w:val="18"/>
          <w:szCs w:val="18"/>
        </w:rPr>
        <w:t>Sposób realizacji</w:t>
      </w:r>
      <w:bookmarkEnd w:id="4"/>
    </w:p>
    <w:p w14:paraId="3DF0B3E2" w14:textId="5BDAC996" w:rsidR="007C2E85" w:rsidRPr="00B72C5C" w:rsidRDefault="007C2E85" w:rsidP="002A4315">
      <w:pPr>
        <w:spacing w:before="120" w:after="120" w:line="240" w:lineRule="auto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Przedmiot z</w:t>
      </w:r>
      <w:r w:rsidR="002E025F">
        <w:rPr>
          <w:rFonts w:ascii="Verdana" w:hAnsi="Verdana"/>
          <w:sz w:val="18"/>
          <w:szCs w:val="18"/>
        </w:rPr>
        <w:t xml:space="preserve">amówienia został </w:t>
      </w:r>
      <w:r w:rsidR="001B69B0">
        <w:rPr>
          <w:rFonts w:ascii="Verdana" w:hAnsi="Verdana"/>
          <w:sz w:val="18"/>
          <w:szCs w:val="18"/>
        </w:rPr>
        <w:t>przedstawiony w Tabeli</w:t>
      </w:r>
      <w:r w:rsidR="00F63DBB">
        <w:rPr>
          <w:rFonts w:ascii="Verdana" w:hAnsi="Verdana"/>
          <w:sz w:val="18"/>
          <w:szCs w:val="18"/>
        </w:rPr>
        <w:t xml:space="preserve"> nr 1, obejmuje zamówienie podstawowe</w:t>
      </w:r>
      <w:r w:rsidR="000B2801">
        <w:rPr>
          <w:rFonts w:ascii="Verdana" w:hAnsi="Verdana"/>
          <w:sz w:val="18"/>
          <w:szCs w:val="18"/>
        </w:rPr>
        <w:t>.</w:t>
      </w:r>
    </w:p>
    <w:p w14:paraId="5631AA2F" w14:textId="77777777" w:rsidR="007C2E85" w:rsidRPr="00B72C5C" w:rsidRDefault="007C2E85" w:rsidP="007C2E85">
      <w:pPr>
        <w:pStyle w:val="Akapitzlist"/>
        <w:keepNext/>
        <w:keepLines/>
        <w:numPr>
          <w:ilvl w:val="1"/>
          <w:numId w:val="1"/>
        </w:numPr>
        <w:shd w:val="clear" w:color="auto" w:fill="DEEAF6" w:themeFill="accent1" w:themeFillTint="33"/>
        <w:tabs>
          <w:tab w:val="right" w:pos="9072"/>
        </w:tabs>
        <w:spacing w:line="240" w:lineRule="auto"/>
        <w:ind w:left="567" w:right="1" w:hanging="567"/>
        <w:outlineLvl w:val="0"/>
        <w:rPr>
          <w:rFonts w:ascii="Verdana" w:hAnsi="Verdana"/>
          <w:sz w:val="18"/>
          <w:szCs w:val="18"/>
        </w:rPr>
      </w:pPr>
      <w:bookmarkStart w:id="5" w:name="_Toc110932025"/>
      <w:r w:rsidRPr="00B72C5C">
        <w:rPr>
          <w:rFonts w:ascii="Verdana" w:hAnsi="Verdana"/>
          <w:sz w:val="18"/>
          <w:szCs w:val="18"/>
        </w:rPr>
        <w:t>Zestawienie ilościowe przedmiotu zamówienia</w:t>
      </w:r>
      <w:bookmarkEnd w:id="5"/>
    </w:p>
    <w:p w14:paraId="4A5AB90C" w14:textId="09CD364C" w:rsidR="007C2E85" w:rsidRDefault="007C2E85" w:rsidP="007C2E85">
      <w:pPr>
        <w:pStyle w:val="Akapitzlist"/>
        <w:spacing w:before="120" w:after="120" w:line="240" w:lineRule="auto"/>
        <w:ind w:left="0"/>
        <w:contextualSpacing w:val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Poniższa tabela przedstawia zestawienie ilościowe przedmiotu zamówienia.</w:t>
      </w:r>
    </w:p>
    <w:p w14:paraId="20A8C56C" w14:textId="77777777" w:rsidR="002C3D1D" w:rsidRPr="00B72C5C" w:rsidRDefault="002C3D1D" w:rsidP="007C2E85">
      <w:pPr>
        <w:pStyle w:val="Akapitzlist"/>
        <w:spacing w:before="120" w:after="120" w:line="240" w:lineRule="auto"/>
        <w:ind w:left="0"/>
        <w:contextualSpacing w:val="0"/>
        <w:rPr>
          <w:rFonts w:ascii="Verdana" w:hAnsi="Verdana"/>
          <w:sz w:val="18"/>
          <w:szCs w:val="18"/>
        </w:rPr>
      </w:pPr>
    </w:p>
    <w:p w14:paraId="1579D163" w14:textId="636E780E" w:rsidR="007C2E85" w:rsidRPr="00B72C5C" w:rsidRDefault="007C2E85" w:rsidP="007C2E85">
      <w:pPr>
        <w:pStyle w:val="Legenda"/>
        <w:keepNext/>
        <w:spacing w:after="0"/>
        <w:ind w:firstLine="284"/>
        <w:jc w:val="both"/>
        <w:rPr>
          <w:rFonts w:ascii="Verdana" w:hAnsi="Verdana"/>
        </w:rPr>
      </w:pPr>
      <w:r w:rsidRPr="00B72C5C">
        <w:rPr>
          <w:rFonts w:ascii="Verdana" w:hAnsi="Verdana"/>
        </w:rPr>
        <w:t xml:space="preserve">Tabela </w:t>
      </w:r>
      <w:r w:rsidRPr="00B72C5C">
        <w:rPr>
          <w:rFonts w:ascii="Verdana" w:hAnsi="Verdana"/>
        </w:rPr>
        <w:fldChar w:fldCharType="begin"/>
      </w:r>
      <w:r w:rsidRPr="00B72C5C">
        <w:rPr>
          <w:rFonts w:ascii="Verdana" w:hAnsi="Verdana"/>
        </w:rPr>
        <w:instrText xml:space="preserve"> SEQ Tabela \* ARABIC </w:instrText>
      </w:r>
      <w:r w:rsidRPr="00B72C5C">
        <w:rPr>
          <w:rFonts w:ascii="Verdana" w:hAnsi="Verdana"/>
        </w:rPr>
        <w:fldChar w:fldCharType="separate"/>
      </w:r>
      <w:r w:rsidRPr="00B72C5C">
        <w:rPr>
          <w:rFonts w:ascii="Verdana" w:hAnsi="Verdana"/>
        </w:rPr>
        <w:t>1</w:t>
      </w:r>
      <w:r w:rsidRPr="00B72C5C">
        <w:rPr>
          <w:rFonts w:ascii="Verdana" w:hAnsi="Verdana"/>
        </w:rPr>
        <w:fldChar w:fldCharType="end"/>
      </w:r>
      <w:r w:rsidRPr="00B72C5C">
        <w:rPr>
          <w:rFonts w:ascii="Verdana" w:hAnsi="Verdana"/>
        </w:rPr>
        <w:t xml:space="preserve"> Zestawienie ilościowe przedmiotu zamówienia</w:t>
      </w:r>
      <w:r w:rsidR="00F43597">
        <w:rPr>
          <w:rFonts w:ascii="Verdana" w:hAnsi="Verdana"/>
        </w:rPr>
        <w:t xml:space="preserve"> - Sprzęt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08"/>
        <w:gridCol w:w="713"/>
      </w:tblGrid>
      <w:tr w:rsidR="00592190" w:rsidRPr="00D04D43" w14:paraId="7C07EE41" w14:textId="77777777" w:rsidTr="00D04D43">
        <w:trPr>
          <w:jc w:val="center"/>
        </w:trPr>
        <w:tc>
          <w:tcPr>
            <w:tcW w:w="5108" w:type="dxa"/>
            <w:shd w:val="clear" w:color="auto" w:fill="DEEAF6" w:themeFill="accent1" w:themeFillTint="33"/>
          </w:tcPr>
          <w:p w14:paraId="4A3D545F" w14:textId="1C24295A" w:rsidR="00592190" w:rsidRPr="00D04D43" w:rsidRDefault="00592190" w:rsidP="001B69B0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D04D43">
              <w:rPr>
                <w:rFonts w:ascii="Verdana" w:hAnsi="Verdan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85" w:type="dxa"/>
            <w:shd w:val="clear" w:color="auto" w:fill="DEEAF6" w:themeFill="accent1" w:themeFillTint="33"/>
          </w:tcPr>
          <w:p w14:paraId="139952BE" w14:textId="25485102" w:rsidR="00592190" w:rsidRPr="00D04D43" w:rsidRDefault="00592190" w:rsidP="001B69B0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D04D43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</w:tr>
      <w:tr w:rsidR="00592190" w:rsidRPr="00B72C5C" w14:paraId="6E7789C1" w14:textId="77777777" w:rsidTr="00592190">
        <w:trPr>
          <w:jc w:val="center"/>
        </w:trPr>
        <w:tc>
          <w:tcPr>
            <w:tcW w:w="5108" w:type="dxa"/>
          </w:tcPr>
          <w:p w14:paraId="37987BE5" w14:textId="31BF9E9F" w:rsidR="00592190" w:rsidRDefault="00592190" w:rsidP="001B69B0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Programowalny tłumik</w:t>
            </w:r>
            <w:r w:rsidRPr="00592190">
              <w:rPr>
                <w:rFonts w:ascii="Verdana" w:hAnsi="Verdana"/>
                <w:sz w:val="18"/>
                <w:szCs w:val="18"/>
              </w:rPr>
              <w:t xml:space="preserve"> sygnału radiowego</w:t>
            </w:r>
            <w:r>
              <w:rPr>
                <w:rFonts w:ascii="Verdana" w:hAnsi="Verdana"/>
                <w:sz w:val="18"/>
                <w:szCs w:val="18"/>
              </w:rPr>
              <w:t xml:space="preserve"> [sztuk]</w:t>
            </w:r>
          </w:p>
        </w:tc>
        <w:tc>
          <w:tcPr>
            <w:tcW w:w="685" w:type="dxa"/>
          </w:tcPr>
          <w:p w14:paraId="78D069CB" w14:textId="2B734AD8" w:rsidR="00592190" w:rsidRPr="00B72C5C" w:rsidRDefault="00592190" w:rsidP="00592190">
            <w:pPr>
              <w:pStyle w:val="Akapitzlist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592190" w:rsidRPr="00B72C5C" w14:paraId="2D008FFD" w14:textId="77777777" w:rsidTr="00592190">
        <w:trPr>
          <w:jc w:val="center"/>
        </w:trPr>
        <w:tc>
          <w:tcPr>
            <w:tcW w:w="5108" w:type="dxa"/>
          </w:tcPr>
          <w:p w14:paraId="0102EF47" w14:textId="70476314" w:rsidR="00592190" w:rsidRDefault="00592190" w:rsidP="001B69B0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Zestaw akcesoriów – klucze dynamometryczne [komplet]</w:t>
            </w:r>
          </w:p>
        </w:tc>
        <w:tc>
          <w:tcPr>
            <w:tcW w:w="685" w:type="dxa"/>
          </w:tcPr>
          <w:p w14:paraId="68A214B0" w14:textId="059EA44E" w:rsidR="00592190" w:rsidRDefault="00592190" w:rsidP="00592190">
            <w:pPr>
              <w:pStyle w:val="Akapitzlist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592190" w:rsidRPr="00B72C5C" w14:paraId="2C7B7687" w14:textId="77777777" w:rsidTr="00592190">
        <w:trPr>
          <w:jc w:val="center"/>
        </w:trPr>
        <w:tc>
          <w:tcPr>
            <w:tcW w:w="5108" w:type="dxa"/>
          </w:tcPr>
          <w:p w14:paraId="12071F0E" w14:textId="0C6557A6" w:rsidR="00592190" w:rsidRDefault="00592190" w:rsidP="001B69B0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Zestaw akcesoriów – okablowanie [komplet]</w:t>
            </w:r>
          </w:p>
        </w:tc>
        <w:tc>
          <w:tcPr>
            <w:tcW w:w="685" w:type="dxa"/>
          </w:tcPr>
          <w:p w14:paraId="363F10FC" w14:textId="724114CD" w:rsidR="00592190" w:rsidRDefault="00592190" w:rsidP="00592190">
            <w:pPr>
              <w:pStyle w:val="Akapitzlist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592190" w:rsidRPr="00B72C5C" w14:paraId="275EC628" w14:textId="77777777" w:rsidTr="00592190">
        <w:trPr>
          <w:jc w:val="center"/>
        </w:trPr>
        <w:tc>
          <w:tcPr>
            <w:tcW w:w="5108" w:type="dxa"/>
          </w:tcPr>
          <w:p w14:paraId="410930A3" w14:textId="2AF0C84E" w:rsidR="00592190" w:rsidRDefault="00592190" w:rsidP="001B69B0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Zestaw akcesoriów – złącza/przejściówki [komplet]</w:t>
            </w:r>
          </w:p>
        </w:tc>
        <w:tc>
          <w:tcPr>
            <w:tcW w:w="685" w:type="dxa"/>
          </w:tcPr>
          <w:p w14:paraId="189BAD94" w14:textId="45C7ECB7" w:rsidR="00592190" w:rsidRDefault="00592190" w:rsidP="00592190">
            <w:pPr>
              <w:pStyle w:val="Akapitzlist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</w:tbl>
    <w:p w14:paraId="44A61504" w14:textId="1837A08F" w:rsidR="007C2E85" w:rsidRDefault="007C2E85" w:rsidP="007C2E85">
      <w:pPr>
        <w:rPr>
          <w:rFonts w:ascii="Verdana" w:hAnsi="Verdana"/>
          <w:sz w:val="18"/>
          <w:szCs w:val="18"/>
        </w:rPr>
      </w:pPr>
    </w:p>
    <w:p w14:paraId="29175057" w14:textId="77777777" w:rsidR="002C3D1D" w:rsidRPr="00B72C5C" w:rsidRDefault="002C3D1D" w:rsidP="007C2E85">
      <w:pPr>
        <w:rPr>
          <w:rFonts w:ascii="Verdana" w:hAnsi="Verdana"/>
          <w:sz w:val="18"/>
          <w:szCs w:val="18"/>
        </w:rPr>
      </w:pPr>
    </w:p>
    <w:p w14:paraId="79861BE3" w14:textId="77777777" w:rsidR="007C2E85" w:rsidRPr="00B72C5C" w:rsidRDefault="007C2E85" w:rsidP="007C2E85">
      <w:pPr>
        <w:pStyle w:val="Akapitzlist"/>
        <w:keepNext/>
        <w:keepLines/>
        <w:numPr>
          <w:ilvl w:val="1"/>
          <w:numId w:val="1"/>
        </w:numPr>
        <w:shd w:val="clear" w:color="auto" w:fill="DEEAF6" w:themeFill="accent1" w:themeFillTint="33"/>
        <w:tabs>
          <w:tab w:val="right" w:pos="9072"/>
        </w:tabs>
        <w:spacing w:line="240" w:lineRule="auto"/>
        <w:ind w:left="567" w:right="1" w:hanging="567"/>
        <w:outlineLvl w:val="0"/>
        <w:rPr>
          <w:rFonts w:ascii="Verdana" w:hAnsi="Verdana"/>
          <w:sz w:val="18"/>
          <w:szCs w:val="18"/>
        </w:rPr>
      </w:pPr>
      <w:bookmarkStart w:id="6" w:name="_Toc110932027"/>
      <w:r w:rsidRPr="00B72C5C">
        <w:rPr>
          <w:rFonts w:ascii="Verdana" w:hAnsi="Verdana"/>
          <w:sz w:val="18"/>
          <w:szCs w:val="18"/>
        </w:rPr>
        <w:lastRenderedPageBreak/>
        <w:t>Wymagania podstawowe</w:t>
      </w:r>
      <w:bookmarkEnd w:id="6"/>
    </w:p>
    <w:p w14:paraId="28E8D4A5" w14:textId="60D4BB30" w:rsidR="007C2E85" w:rsidRPr="00B72C5C" w:rsidRDefault="007C2E85" w:rsidP="007C2E85">
      <w:pPr>
        <w:pStyle w:val="Akapitzlist"/>
        <w:spacing w:before="120" w:after="120" w:line="240" w:lineRule="auto"/>
        <w:ind w:left="0"/>
        <w:contextualSpacing w:val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Po</w:t>
      </w:r>
      <w:r w:rsidR="001B69B0">
        <w:rPr>
          <w:rFonts w:ascii="Verdana" w:hAnsi="Verdana"/>
          <w:sz w:val="18"/>
          <w:szCs w:val="18"/>
        </w:rPr>
        <w:t>niższa tabela przedstawia</w:t>
      </w:r>
      <w:r w:rsidRPr="00B72C5C">
        <w:rPr>
          <w:rFonts w:ascii="Verdana" w:hAnsi="Verdana"/>
          <w:sz w:val="18"/>
          <w:szCs w:val="18"/>
        </w:rPr>
        <w:t xml:space="preserve"> w</w:t>
      </w:r>
      <w:r w:rsidR="00955926">
        <w:rPr>
          <w:rFonts w:ascii="Verdana" w:hAnsi="Verdana"/>
          <w:sz w:val="18"/>
          <w:szCs w:val="18"/>
        </w:rPr>
        <w:t xml:space="preserve">ymagania </w:t>
      </w:r>
      <w:r w:rsidR="0089112C">
        <w:rPr>
          <w:rFonts w:ascii="Verdana" w:hAnsi="Verdana"/>
          <w:sz w:val="18"/>
          <w:szCs w:val="18"/>
        </w:rPr>
        <w:t>dla Sprzętu</w:t>
      </w:r>
      <w:r w:rsidR="001B69B0">
        <w:rPr>
          <w:rFonts w:ascii="Verdana" w:hAnsi="Verdana"/>
          <w:sz w:val="18"/>
          <w:szCs w:val="18"/>
        </w:rPr>
        <w:t xml:space="preserve"> z Tabeli nr 1.</w:t>
      </w:r>
    </w:p>
    <w:p w14:paraId="0732771E" w14:textId="7CBA5E57" w:rsidR="007C2E85" w:rsidRPr="00A5770F" w:rsidRDefault="005A3D8E" w:rsidP="007C2E85">
      <w:pPr>
        <w:pStyle w:val="Legenda"/>
        <w:keepNext/>
        <w:spacing w:after="0"/>
        <w:ind w:firstLine="284"/>
        <w:jc w:val="both"/>
        <w:rPr>
          <w:rFonts w:ascii="Verdana" w:hAnsi="Verdana"/>
        </w:rPr>
      </w:pPr>
      <w:r w:rsidRPr="00A5770F">
        <w:rPr>
          <w:rFonts w:ascii="Verdana" w:hAnsi="Verdana"/>
        </w:rPr>
        <w:t xml:space="preserve">Tabela 2 </w:t>
      </w:r>
      <w:r w:rsidR="008E538B">
        <w:rPr>
          <w:rFonts w:ascii="Verdana" w:hAnsi="Verdana"/>
        </w:rPr>
        <w:t>Wym</w:t>
      </w:r>
      <w:r w:rsidR="00F47ECD">
        <w:rPr>
          <w:rFonts w:ascii="Verdana" w:hAnsi="Verdana"/>
        </w:rPr>
        <w:t>agania</w:t>
      </w:r>
      <w:r w:rsidR="008E538B">
        <w:rPr>
          <w:rFonts w:ascii="Verdana" w:hAnsi="Verdana"/>
        </w:rPr>
        <w:t xml:space="preserve"> </w:t>
      </w:r>
      <w:r w:rsidR="008E538B" w:rsidRPr="008E538B">
        <w:rPr>
          <w:rFonts w:ascii="Verdana" w:hAnsi="Verdana"/>
        </w:rPr>
        <w:t>dla Sprzętu z Tabeli nr 1</w:t>
      </w:r>
    </w:p>
    <w:p w14:paraId="446C729B" w14:textId="181F6645" w:rsidR="00D04D43" w:rsidRDefault="00D04D43" w:rsidP="008E538B">
      <w:pPr>
        <w:pStyle w:val="Legenda"/>
        <w:keepNext/>
        <w:spacing w:after="0"/>
        <w:ind w:firstLine="284"/>
        <w:jc w:val="both"/>
        <w:rPr>
          <w:i w:val="0"/>
          <w:iCs w:val="0"/>
          <w:color w:val="auto"/>
          <w:sz w:val="22"/>
          <w:szCs w:val="22"/>
        </w:rPr>
      </w:pPr>
      <w:r>
        <w:fldChar w:fldCharType="begin"/>
      </w:r>
      <w:r>
        <w:instrText xml:space="preserve"> LINK Excel.Sheet.12 "Zeszyt1" "Arkusz1!W1K1:W25K3" \a \f 4 \h  \* MERGEFORMAT </w:instrText>
      </w:r>
      <w:r>
        <w:fldChar w:fldCharType="separate"/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"/>
        <w:gridCol w:w="5215"/>
        <w:gridCol w:w="3685"/>
      </w:tblGrid>
      <w:tr w:rsidR="00D04D43" w:rsidRPr="00D04D43" w14:paraId="03F898C1" w14:textId="77777777" w:rsidTr="001E2F96">
        <w:trPr>
          <w:cantSplit/>
          <w:trHeight w:val="315"/>
        </w:trPr>
        <w:tc>
          <w:tcPr>
            <w:tcW w:w="7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EEAF6"/>
            <w:vAlign w:val="center"/>
            <w:hideMark/>
          </w:tcPr>
          <w:p w14:paraId="36D9E655" w14:textId="2EBA8426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215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EEAF6"/>
            <w:vAlign w:val="center"/>
            <w:hideMark/>
          </w:tcPr>
          <w:p w14:paraId="606627DD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Opis wymagania</w:t>
            </w:r>
          </w:p>
        </w:tc>
        <w:tc>
          <w:tcPr>
            <w:tcW w:w="3685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DEEAF6"/>
            <w:vAlign w:val="center"/>
            <w:hideMark/>
          </w:tcPr>
          <w:p w14:paraId="4A143315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Komentarz Zamawiającego</w:t>
            </w:r>
          </w:p>
        </w:tc>
      </w:tr>
      <w:tr w:rsidR="00D04D43" w:rsidRPr="00D04D43" w14:paraId="35E1A66A" w14:textId="77777777" w:rsidTr="00D04D43">
        <w:trPr>
          <w:cantSplit/>
          <w:trHeight w:val="315"/>
        </w:trPr>
        <w:tc>
          <w:tcPr>
            <w:tcW w:w="9629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DEBF7"/>
            <w:vAlign w:val="center"/>
            <w:hideMark/>
          </w:tcPr>
          <w:p w14:paraId="7308DBB5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Programowalny tłumik sygnału radiowego</w:t>
            </w:r>
          </w:p>
        </w:tc>
      </w:tr>
      <w:tr w:rsidR="00D04D43" w:rsidRPr="00D04D43" w14:paraId="4BC51FEE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CBA0D7F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8A48492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Budowa: możliwość montażu w stojaku 19” lub wolnostojący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A7EC129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3317B3D9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466C5B9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1.6.2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5BC495C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Zasilanie: sieciowe AC230V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35731A1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21161A57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F5B54D0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1.6.3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DD18641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Złącza RF: typu „N”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A184B85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5A089CD1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7FD3A18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1.6.4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8AA9749" w14:textId="1EE8B76A" w:rsidR="00D04D43" w:rsidRPr="00D04D43" w:rsidRDefault="00976185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Impedancja</w:t>
            </w:r>
            <w:r w:rsidR="00D04D43"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: 50Ω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37AD34A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04BCD0D4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774DD16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1.6.5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95262B1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Złącza do zarządzania: Ethernet i/lub RS-232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8A10800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6C745206" w14:textId="77777777" w:rsidTr="001E2F96">
        <w:trPr>
          <w:cantSplit/>
          <w:trHeight w:val="46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AA40CE9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1.6.6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29033D0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Minimalny zakres częstotliwości pracy torów RF: LTE Band 31 3GPP (452.5MHz – 467.5MHz)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120A55A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7E2D6FFC" w14:textId="77777777" w:rsidTr="001E2F96">
        <w:trPr>
          <w:cantSplit/>
          <w:trHeight w:val="46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57B9256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1.6.7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0A9C549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Minimalny zakres tłumienia torów RF: 0-100dB z płynną regulacją z krokiem co 1dB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C024567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6FB23FAE" w14:textId="77777777" w:rsidTr="001E2F96">
        <w:trPr>
          <w:cantSplit/>
          <w:trHeight w:val="46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02E0238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1.6.8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017F8EE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Możliwość obsługi scenariuszy tłumienia za pomocą wbudowanej funkcji lub skryptu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2B5B373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Konfigurowalny skok tłumienia, odstępy pomiędzy krokami tłumienia, możliwość pracy w pętli.</w:t>
            </w:r>
          </w:p>
        </w:tc>
      </w:tr>
      <w:tr w:rsidR="00D04D43" w:rsidRPr="00D04D43" w14:paraId="2797CA2A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441EE8C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1.6.9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0693FE9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Ilość wejść/wyjść: 4/4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0C59953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20BF2AB4" w14:textId="77777777" w:rsidTr="00D04D43">
        <w:trPr>
          <w:cantSplit/>
          <w:trHeight w:val="315"/>
        </w:trPr>
        <w:tc>
          <w:tcPr>
            <w:tcW w:w="9629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DEBF7"/>
            <w:vAlign w:val="center"/>
            <w:hideMark/>
          </w:tcPr>
          <w:p w14:paraId="05336BE7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Zestaw akcesoriów – klucze dynamometryczne [komplet]</w:t>
            </w:r>
          </w:p>
        </w:tc>
      </w:tr>
      <w:tr w:rsidR="00D04D43" w:rsidRPr="00D04D43" w14:paraId="0843841D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0D5EE31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1.6.10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A1FAD7D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Klucz dynamometryczny do złączy 7/16, 25Nm – 1 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C4F4629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2CF28383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13011B2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1.6.11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C23A63E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Klucz dynamometryczny do złączy 4.3-10, 5Nm – 1 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EAD646E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11DA4440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EAC113A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1.6.12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A1DD9B3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Klucz dynamometryczny do złączy SMA, 0.9Nm – 1 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6359D24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3C8F5979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D78FA60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1.6.13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52A3EBF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Klucz dynamometryczny do złączy N, 5Nm – 1 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0B5E141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04D43" w:rsidRPr="00D04D43" w14:paraId="56B136A0" w14:textId="77777777" w:rsidTr="00D04D43">
        <w:trPr>
          <w:cantSplit/>
          <w:trHeight w:val="315"/>
        </w:trPr>
        <w:tc>
          <w:tcPr>
            <w:tcW w:w="9629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DEBF7"/>
            <w:vAlign w:val="center"/>
            <w:hideMark/>
          </w:tcPr>
          <w:p w14:paraId="62684F25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Zestaw akcesoriów – okablowanie [komplet]</w:t>
            </w:r>
          </w:p>
        </w:tc>
      </w:tr>
      <w:tr w:rsidR="00D04D43" w:rsidRPr="00D04D43" w14:paraId="1122D1ED" w14:textId="77777777" w:rsidTr="001E2F96">
        <w:trPr>
          <w:cantSplit/>
          <w:trHeight w:val="46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7897F73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1.6.14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0EB4B20" w14:textId="5F3D25B1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Kabel koncentryczny (zakres częstotliwości pracy: 452.5MHz – 467.5MHz) – złącza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proste</w:t>
            </w: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N męskie – 2m – 10szt.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DADD720" w14:textId="6AEFEB43" w:rsidR="00D04D43" w:rsidRPr="00D04D43" w:rsidRDefault="00D04D43" w:rsidP="001E2F96">
            <w:pPr>
              <w:spacing w:line="240" w:lineRule="auto"/>
              <w:jc w:val="left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Okablowanie dedykowane dla celów laboratoryjnych: elastyczne, </w:t>
            </w:r>
            <w:proofErr w:type="spellStart"/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niskostratne</w:t>
            </w:r>
            <w:proofErr w:type="spellEnd"/>
          </w:p>
        </w:tc>
      </w:tr>
      <w:tr w:rsidR="00D04D43" w:rsidRPr="00D04D43" w14:paraId="13ED1592" w14:textId="77777777" w:rsidTr="001E2F96">
        <w:trPr>
          <w:cantSplit/>
          <w:trHeight w:val="46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FDC28C4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1.6.15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C14E5D5" w14:textId="10BBDFD3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Kabel koncentryczny (zakres częstotliwości pracy: 452.5MHz – 467.5MHz) – złącza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proste</w:t>
            </w: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N męskie – 5m – 5szt.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8C1F553" w14:textId="112146EE" w:rsidR="00D04D43" w:rsidRPr="00D04D43" w:rsidRDefault="00D04D43" w:rsidP="001E2F96">
            <w:pPr>
              <w:spacing w:line="240" w:lineRule="auto"/>
              <w:jc w:val="left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Okablowanie dedykowane dla celów laboratoryjnych: elastyczne, </w:t>
            </w:r>
            <w:proofErr w:type="spellStart"/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niskostratne</w:t>
            </w:r>
            <w:proofErr w:type="spellEnd"/>
          </w:p>
        </w:tc>
      </w:tr>
      <w:tr w:rsidR="00D04D43" w:rsidRPr="00D04D43" w14:paraId="1702E40D" w14:textId="77777777" w:rsidTr="001E2F96">
        <w:trPr>
          <w:cantSplit/>
          <w:trHeight w:val="46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9614029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1.6.16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2E70842" w14:textId="39B71FD2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Kabel koncentryczny (zakres częstotliwości pracy: 452.5MHz – 467.5MHz) – złącza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proste</w:t>
            </w: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N męskie – 10m – 1szt.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434C1FE" w14:textId="44AAC6FE" w:rsidR="00D04D43" w:rsidRPr="00D04D43" w:rsidRDefault="00D04D43" w:rsidP="001E2F96">
            <w:pPr>
              <w:spacing w:line="240" w:lineRule="auto"/>
              <w:jc w:val="left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Okablowanie dedykowane dla celów laboratoryjnych: elastyczne, </w:t>
            </w:r>
            <w:proofErr w:type="spellStart"/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niskostratne</w:t>
            </w:r>
            <w:proofErr w:type="spellEnd"/>
          </w:p>
        </w:tc>
      </w:tr>
      <w:tr w:rsidR="00D04D43" w:rsidRPr="00D04D43" w14:paraId="2DC00FAF" w14:textId="77777777" w:rsidTr="001E2F96">
        <w:trPr>
          <w:cantSplit/>
          <w:trHeight w:val="46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4F371BB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1.6.17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A5EF6D0" w14:textId="414C846B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Kabel koncentryczny (zakres częstotliwości pracy: 452.5MHz – 467.5MHz) – złącza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proste</w:t>
            </w: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SMA męskie – 0,5m – 6szt.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82F6845" w14:textId="66A0D065" w:rsidR="00D04D43" w:rsidRPr="00D04D43" w:rsidRDefault="00D04D43" w:rsidP="001E2F96">
            <w:pPr>
              <w:spacing w:line="240" w:lineRule="auto"/>
              <w:jc w:val="left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Okablowanie dedykowane dla celów laboratoryjnych: elastyczne, </w:t>
            </w:r>
            <w:proofErr w:type="spellStart"/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niskostratne</w:t>
            </w:r>
            <w:proofErr w:type="spellEnd"/>
          </w:p>
        </w:tc>
      </w:tr>
      <w:tr w:rsidR="00D04D43" w:rsidRPr="00D04D43" w14:paraId="67339C47" w14:textId="77777777" w:rsidTr="001E2F96">
        <w:trPr>
          <w:cantSplit/>
          <w:trHeight w:val="46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C2686A3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1.6.18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D0801CB" w14:textId="2F80E180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Kabel koncentryczny (zakres częstotliwości pracy: 452.5MHz – 467.5MHz) – złącza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proste</w:t>
            </w: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SMA męskie – 1m – 6szt.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73995C6" w14:textId="42678F87" w:rsidR="00D04D43" w:rsidRPr="00D04D43" w:rsidRDefault="00D04D43" w:rsidP="001E2F96">
            <w:pPr>
              <w:spacing w:line="240" w:lineRule="auto"/>
              <w:jc w:val="left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Okablowanie dedykowane dla celów laboratoryjnych: elastyczne, </w:t>
            </w:r>
            <w:proofErr w:type="spellStart"/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niskostratne</w:t>
            </w:r>
            <w:proofErr w:type="spellEnd"/>
          </w:p>
        </w:tc>
      </w:tr>
      <w:tr w:rsidR="00D04D43" w:rsidRPr="00D04D43" w14:paraId="3CC2F0DF" w14:textId="77777777" w:rsidTr="001E2F96">
        <w:trPr>
          <w:cantSplit/>
          <w:trHeight w:val="46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1FF3758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1.6.19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6FB05DB" w14:textId="51624676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Kabel koncentryczny (zakres częstotliwości pracy: 452.5MHz – 467.5MHz) – złącz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proste</w:t>
            </w: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 SMA męskie – 2m – 10szt.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71C8910" w14:textId="25528CCA" w:rsidR="00D04D43" w:rsidRPr="00D04D43" w:rsidRDefault="00D04D43" w:rsidP="001E2F96">
            <w:pPr>
              <w:spacing w:line="240" w:lineRule="auto"/>
              <w:jc w:val="left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Okablowanie dedykowane dla celów </w:t>
            </w:r>
            <w:proofErr w:type="spellStart"/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laboratoryjnych:elastyczne</w:t>
            </w:r>
            <w:proofErr w:type="spellEnd"/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="001E2F96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niskostratne</w:t>
            </w:r>
            <w:proofErr w:type="spellEnd"/>
          </w:p>
        </w:tc>
      </w:tr>
      <w:tr w:rsidR="00D04D43" w:rsidRPr="00D04D43" w14:paraId="085E4BDD" w14:textId="77777777" w:rsidTr="00D04D43">
        <w:trPr>
          <w:cantSplit/>
          <w:trHeight w:val="315"/>
        </w:trPr>
        <w:tc>
          <w:tcPr>
            <w:tcW w:w="9629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DDEBF7"/>
            <w:vAlign w:val="center"/>
            <w:hideMark/>
          </w:tcPr>
          <w:p w14:paraId="1D9F6E7C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Zestaw akcesoriów – złącza/przejściówki [komplet]</w:t>
            </w:r>
          </w:p>
        </w:tc>
      </w:tr>
      <w:tr w:rsidR="00D04D43" w:rsidRPr="00D04D43" w14:paraId="200303EE" w14:textId="77777777" w:rsidTr="001E2F96">
        <w:trPr>
          <w:cantSplit/>
          <w:trHeight w:val="315"/>
        </w:trPr>
        <w:tc>
          <w:tcPr>
            <w:tcW w:w="72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4911555" w14:textId="77777777" w:rsidR="00D04D43" w:rsidRPr="00D04D43" w:rsidRDefault="00D04D43" w:rsidP="00D04D43">
            <w:pPr>
              <w:spacing w:line="240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1.6.20</w:t>
            </w:r>
          </w:p>
        </w:tc>
        <w:tc>
          <w:tcPr>
            <w:tcW w:w="521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CEC329F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Złącza/przejściówki radiowe 50Ω zgodnie z Tabelą 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C5EE84F" w14:textId="77777777" w:rsidR="00D04D43" w:rsidRPr="00D04D43" w:rsidRDefault="00D04D43" w:rsidP="00D04D43">
            <w:pPr>
              <w:spacing w:line="240" w:lineRule="auto"/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</w:pPr>
            <w:r w:rsidRPr="00D04D43">
              <w:rPr>
                <w:rFonts w:ascii="Verdana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53C87A53" w14:textId="0FF44416" w:rsidR="00537E43" w:rsidRDefault="00D04D43" w:rsidP="008A3ED6">
      <w:pPr>
        <w:pStyle w:val="Legenda"/>
        <w:keepNext/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fldChar w:fldCharType="end"/>
      </w:r>
    </w:p>
    <w:p w14:paraId="28E4A815" w14:textId="77777777" w:rsidR="008A3ED6" w:rsidRPr="008A3ED6" w:rsidRDefault="008A3ED6" w:rsidP="008A3ED6"/>
    <w:p w14:paraId="1A0F9EB7" w14:textId="795EDCEE" w:rsidR="008E538B" w:rsidRPr="00A5770F" w:rsidRDefault="00010860" w:rsidP="008E538B">
      <w:pPr>
        <w:pStyle w:val="Legenda"/>
        <w:keepNext/>
        <w:spacing w:after="0"/>
        <w:ind w:firstLine="284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Tabela 3</w:t>
      </w:r>
      <w:r w:rsidR="008E538B" w:rsidRPr="00A5770F">
        <w:rPr>
          <w:rFonts w:ascii="Verdana" w:hAnsi="Verdana"/>
        </w:rPr>
        <w:t xml:space="preserve"> </w:t>
      </w:r>
      <w:r w:rsidR="008E538B" w:rsidRPr="008E538B">
        <w:rPr>
          <w:rFonts w:ascii="Verdana" w:hAnsi="Verdana"/>
        </w:rPr>
        <w:t>Lista złączy/przejściówek radiowych 50Ω</w:t>
      </w:r>
      <w:r w:rsidR="008A3ED6">
        <w:rPr>
          <w:rFonts w:ascii="Verdana" w:hAnsi="Verdana"/>
        </w:rPr>
        <w:t xml:space="preserve"> z pkt. 1.6.20</w:t>
      </w:r>
    </w:p>
    <w:tbl>
      <w:tblPr>
        <w:tblW w:w="935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322"/>
        <w:gridCol w:w="802"/>
        <w:gridCol w:w="992"/>
        <w:gridCol w:w="1111"/>
        <w:gridCol w:w="969"/>
        <w:gridCol w:w="969"/>
        <w:gridCol w:w="920"/>
        <w:gridCol w:w="1134"/>
        <w:gridCol w:w="1134"/>
      </w:tblGrid>
      <w:tr w:rsidR="008E538B" w:rsidRPr="008E538B" w14:paraId="1C6DAE3A" w14:textId="77777777" w:rsidTr="008A3ED6">
        <w:trPr>
          <w:cantSplit/>
          <w:tblHeader/>
        </w:trPr>
        <w:tc>
          <w:tcPr>
            <w:tcW w:w="1322" w:type="dxa"/>
            <w:tcBorders>
              <w:bottom w:val="single" w:sz="2" w:space="0" w:color="808080"/>
            </w:tcBorders>
            <w:shd w:val="clear" w:color="auto" w:fill="DEEAF6" w:themeFill="accent1" w:themeFillTint="33"/>
            <w:vAlign w:val="center"/>
          </w:tcPr>
          <w:p w14:paraId="649D119D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Złącza strona A/B</w:t>
            </w:r>
          </w:p>
        </w:tc>
        <w:tc>
          <w:tcPr>
            <w:tcW w:w="802" w:type="dxa"/>
            <w:shd w:val="clear" w:color="auto" w:fill="DEEAF6" w:themeFill="accent1" w:themeFillTint="33"/>
            <w:vAlign w:val="center"/>
          </w:tcPr>
          <w:p w14:paraId="78B99E35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m N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03F73FDC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ż N</w:t>
            </w:r>
          </w:p>
        </w:tc>
        <w:tc>
          <w:tcPr>
            <w:tcW w:w="1111" w:type="dxa"/>
            <w:shd w:val="clear" w:color="auto" w:fill="DEEAF6" w:themeFill="accent1" w:themeFillTint="33"/>
            <w:vAlign w:val="center"/>
          </w:tcPr>
          <w:p w14:paraId="3F597DEA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m 7/16</w:t>
            </w:r>
          </w:p>
        </w:tc>
        <w:tc>
          <w:tcPr>
            <w:tcW w:w="969" w:type="dxa"/>
            <w:shd w:val="clear" w:color="auto" w:fill="DEEAF6" w:themeFill="accent1" w:themeFillTint="33"/>
            <w:vAlign w:val="center"/>
          </w:tcPr>
          <w:p w14:paraId="67404D2D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ż 7/16</w:t>
            </w:r>
          </w:p>
        </w:tc>
        <w:tc>
          <w:tcPr>
            <w:tcW w:w="969" w:type="dxa"/>
            <w:shd w:val="clear" w:color="auto" w:fill="DEEAF6" w:themeFill="accent1" w:themeFillTint="33"/>
            <w:vAlign w:val="center"/>
          </w:tcPr>
          <w:p w14:paraId="28DDA904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m SMA</w:t>
            </w:r>
          </w:p>
        </w:tc>
        <w:tc>
          <w:tcPr>
            <w:tcW w:w="920" w:type="dxa"/>
            <w:shd w:val="clear" w:color="auto" w:fill="DEEAF6" w:themeFill="accent1" w:themeFillTint="33"/>
            <w:vAlign w:val="center"/>
          </w:tcPr>
          <w:p w14:paraId="5AA9C6FB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ż SMA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E4384CB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m 4.3-10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F4A3205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ż 4.3-10</w:t>
            </w:r>
          </w:p>
        </w:tc>
      </w:tr>
      <w:tr w:rsidR="008E538B" w:rsidRPr="008E538B" w14:paraId="2EC672DC" w14:textId="77777777" w:rsidTr="008A3ED6">
        <w:trPr>
          <w:cantSplit/>
        </w:trPr>
        <w:tc>
          <w:tcPr>
            <w:tcW w:w="1322" w:type="dxa"/>
            <w:shd w:val="clear" w:color="auto" w:fill="DEEAF6" w:themeFill="accent1" w:themeFillTint="33"/>
            <w:vAlign w:val="center"/>
          </w:tcPr>
          <w:p w14:paraId="36C1BAB1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  <w:lang w:eastAsia="pl-PL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m N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4123E70D" w14:textId="23BA8152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1963B3E5" w14:textId="3E13245F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1111" w:type="dxa"/>
          </w:tcPr>
          <w:p w14:paraId="20F90753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0C9AB84C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269CF77B" w14:textId="2F3C99A1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920" w:type="dxa"/>
          </w:tcPr>
          <w:p w14:paraId="6ECEE22D" w14:textId="46646EAA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11C7D6E8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A8C2DD1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</w:tr>
      <w:tr w:rsidR="008E538B" w:rsidRPr="008E538B" w14:paraId="5385B2D5" w14:textId="77777777" w:rsidTr="008A3ED6">
        <w:trPr>
          <w:cantSplit/>
        </w:trPr>
        <w:tc>
          <w:tcPr>
            <w:tcW w:w="1322" w:type="dxa"/>
            <w:shd w:val="clear" w:color="auto" w:fill="DEEAF6" w:themeFill="accent1" w:themeFillTint="33"/>
            <w:vAlign w:val="center"/>
          </w:tcPr>
          <w:p w14:paraId="0E3123CA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  <w:lang w:eastAsia="pl-PL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ż N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0E36A2E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92" w:type="dxa"/>
          </w:tcPr>
          <w:p w14:paraId="611412F7" w14:textId="355E3128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1111" w:type="dxa"/>
          </w:tcPr>
          <w:p w14:paraId="5A287D8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5E6457D1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4A89DA78" w14:textId="133D97B5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920" w:type="dxa"/>
          </w:tcPr>
          <w:p w14:paraId="258F1CDD" w14:textId="64012CEF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E531A01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519A2C1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</w:tr>
      <w:tr w:rsidR="008E538B" w:rsidRPr="008E538B" w14:paraId="7DF3CE32" w14:textId="77777777" w:rsidTr="008A3ED6">
        <w:trPr>
          <w:cantSplit/>
        </w:trPr>
        <w:tc>
          <w:tcPr>
            <w:tcW w:w="1322" w:type="dxa"/>
            <w:shd w:val="clear" w:color="auto" w:fill="DEEAF6" w:themeFill="accent1" w:themeFillTint="33"/>
            <w:vAlign w:val="center"/>
          </w:tcPr>
          <w:p w14:paraId="4B2A84B9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  <w:lang w:eastAsia="pl-PL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m 7/16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393283E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92" w:type="dxa"/>
          </w:tcPr>
          <w:p w14:paraId="61FAEE7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11" w:type="dxa"/>
          </w:tcPr>
          <w:p w14:paraId="729B11E3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420A1652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18070E2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61B690C8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3DD45B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AC83706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</w:tr>
      <w:tr w:rsidR="008E538B" w:rsidRPr="008E538B" w14:paraId="622B8C0E" w14:textId="77777777" w:rsidTr="008A3ED6">
        <w:trPr>
          <w:cantSplit/>
        </w:trPr>
        <w:tc>
          <w:tcPr>
            <w:tcW w:w="1322" w:type="dxa"/>
            <w:shd w:val="clear" w:color="auto" w:fill="DEEAF6" w:themeFill="accent1" w:themeFillTint="33"/>
            <w:vAlign w:val="center"/>
          </w:tcPr>
          <w:p w14:paraId="0D3A5F62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ż 7/16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1369F8F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92" w:type="dxa"/>
          </w:tcPr>
          <w:p w14:paraId="6380BE58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11" w:type="dxa"/>
          </w:tcPr>
          <w:p w14:paraId="5D13330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69" w:type="dxa"/>
          </w:tcPr>
          <w:p w14:paraId="44994D17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482F3203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559E81F1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CEBE71F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10E71AB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</w:tr>
      <w:tr w:rsidR="008E538B" w:rsidRPr="008E538B" w14:paraId="411B4ED2" w14:textId="77777777" w:rsidTr="008A3ED6">
        <w:trPr>
          <w:cantSplit/>
        </w:trPr>
        <w:tc>
          <w:tcPr>
            <w:tcW w:w="1322" w:type="dxa"/>
            <w:shd w:val="clear" w:color="auto" w:fill="DEEAF6" w:themeFill="accent1" w:themeFillTint="33"/>
            <w:vAlign w:val="center"/>
          </w:tcPr>
          <w:p w14:paraId="3BA8D43F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m SMA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56E3429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92" w:type="dxa"/>
          </w:tcPr>
          <w:p w14:paraId="677E5C31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11" w:type="dxa"/>
          </w:tcPr>
          <w:p w14:paraId="75A3AC9F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69" w:type="dxa"/>
          </w:tcPr>
          <w:p w14:paraId="23225463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69" w:type="dxa"/>
          </w:tcPr>
          <w:p w14:paraId="770C20EB" w14:textId="4768D135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920" w:type="dxa"/>
          </w:tcPr>
          <w:p w14:paraId="2757D81A" w14:textId="473348DE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00A1351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D93FB44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</w:tr>
      <w:tr w:rsidR="008E538B" w:rsidRPr="008E538B" w14:paraId="3551D680" w14:textId="77777777" w:rsidTr="008A3ED6">
        <w:trPr>
          <w:cantSplit/>
        </w:trPr>
        <w:tc>
          <w:tcPr>
            <w:tcW w:w="1322" w:type="dxa"/>
            <w:shd w:val="clear" w:color="auto" w:fill="DEEAF6" w:themeFill="accent1" w:themeFillTint="33"/>
            <w:vAlign w:val="center"/>
          </w:tcPr>
          <w:p w14:paraId="4FABB670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ż SMA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0982D2F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AE3ECE6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11" w:type="dxa"/>
          </w:tcPr>
          <w:p w14:paraId="150422FA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69" w:type="dxa"/>
          </w:tcPr>
          <w:p w14:paraId="5ABE8831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69" w:type="dxa"/>
          </w:tcPr>
          <w:p w14:paraId="5A7BA28E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54180ADC" w14:textId="02467BBE" w:rsidR="008E538B" w:rsidRPr="008E538B" w:rsidRDefault="008A3ED6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39657BA1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544A3F0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</w:tr>
      <w:tr w:rsidR="008E538B" w:rsidRPr="008E538B" w14:paraId="14C0D38B" w14:textId="77777777" w:rsidTr="008A3ED6">
        <w:trPr>
          <w:cantSplit/>
        </w:trPr>
        <w:tc>
          <w:tcPr>
            <w:tcW w:w="1322" w:type="dxa"/>
            <w:shd w:val="clear" w:color="auto" w:fill="DEEAF6" w:themeFill="accent1" w:themeFillTint="33"/>
            <w:vAlign w:val="center"/>
          </w:tcPr>
          <w:p w14:paraId="1F9EBBB4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m 4.3-10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27939BA5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92" w:type="dxa"/>
          </w:tcPr>
          <w:p w14:paraId="64C6C5B5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11" w:type="dxa"/>
          </w:tcPr>
          <w:p w14:paraId="389B9682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69" w:type="dxa"/>
          </w:tcPr>
          <w:p w14:paraId="43E9C654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69" w:type="dxa"/>
          </w:tcPr>
          <w:p w14:paraId="7A6A5AD4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5D2B80CF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8F96089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1F951B8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</w:tr>
      <w:tr w:rsidR="008E538B" w:rsidRPr="008E538B" w14:paraId="0B4CC0B0" w14:textId="77777777" w:rsidTr="008A3ED6">
        <w:trPr>
          <w:cantSplit/>
        </w:trPr>
        <w:tc>
          <w:tcPr>
            <w:tcW w:w="1322" w:type="dxa"/>
            <w:shd w:val="clear" w:color="auto" w:fill="DEEAF6" w:themeFill="accent1" w:themeFillTint="33"/>
            <w:vAlign w:val="center"/>
          </w:tcPr>
          <w:p w14:paraId="44802ADA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b/>
                <w:sz w:val="18"/>
                <w:szCs w:val="18"/>
              </w:rPr>
              <w:t>ż 4.3-10</w:t>
            </w:r>
          </w:p>
        </w:tc>
        <w:tc>
          <w:tcPr>
            <w:tcW w:w="802" w:type="dxa"/>
            <w:shd w:val="clear" w:color="auto" w:fill="auto"/>
            <w:vAlign w:val="center"/>
          </w:tcPr>
          <w:p w14:paraId="03F8BF3F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CD8363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11" w:type="dxa"/>
          </w:tcPr>
          <w:p w14:paraId="7F36734F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69" w:type="dxa"/>
          </w:tcPr>
          <w:p w14:paraId="66F291C3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69" w:type="dxa"/>
          </w:tcPr>
          <w:p w14:paraId="02CECD9F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920" w:type="dxa"/>
          </w:tcPr>
          <w:p w14:paraId="52B2EFD4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5A77228" w14:textId="77777777" w:rsidR="008E538B" w:rsidRPr="008E538B" w:rsidRDefault="008E538B" w:rsidP="00530155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3D346B7" w14:textId="77777777" w:rsidR="008E538B" w:rsidRPr="008E538B" w:rsidRDefault="008E538B" w:rsidP="00530155">
            <w:pPr>
              <w:pStyle w:val="Normal1"/>
              <w:ind w:left="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E538B">
              <w:rPr>
                <w:rFonts w:ascii="Verdana" w:hAnsi="Verdana" w:cs="Calibri"/>
                <w:sz w:val="18"/>
                <w:szCs w:val="18"/>
              </w:rPr>
              <w:t>5</w:t>
            </w:r>
          </w:p>
        </w:tc>
      </w:tr>
    </w:tbl>
    <w:p w14:paraId="1A88CA20" w14:textId="77777777" w:rsidR="008E538B" w:rsidRPr="008E538B" w:rsidRDefault="008E538B" w:rsidP="008E538B">
      <w:pPr>
        <w:pStyle w:val="Normal1"/>
        <w:ind w:left="0"/>
        <w:rPr>
          <w:rFonts w:ascii="Verdana" w:hAnsi="Verdana" w:cs="Calibri"/>
          <w:sz w:val="18"/>
          <w:szCs w:val="18"/>
        </w:rPr>
      </w:pPr>
      <w:r w:rsidRPr="008E538B">
        <w:rPr>
          <w:rFonts w:ascii="Verdana" w:hAnsi="Verdana" w:cs="Calibri"/>
          <w:sz w:val="18"/>
          <w:szCs w:val="18"/>
        </w:rPr>
        <w:t>m-męskie, ż-żeńskie</w:t>
      </w:r>
    </w:p>
    <w:p w14:paraId="4A4C2576" w14:textId="07968593" w:rsidR="007C2E85" w:rsidRDefault="007C2E85" w:rsidP="007C2E85">
      <w:pPr>
        <w:rPr>
          <w:rFonts w:ascii="Verdana" w:hAnsi="Verdana"/>
          <w:sz w:val="18"/>
          <w:szCs w:val="18"/>
        </w:rPr>
      </w:pPr>
    </w:p>
    <w:p w14:paraId="348F1E76" w14:textId="77777777" w:rsidR="00390532" w:rsidRPr="00B72C5C" w:rsidRDefault="00390532" w:rsidP="007C2E85">
      <w:pPr>
        <w:rPr>
          <w:rFonts w:ascii="Verdana" w:hAnsi="Verdana"/>
          <w:sz w:val="18"/>
          <w:szCs w:val="18"/>
        </w:rPr>
      </w:pPr>
    </w:p>
    <w:p w14:paraId="1ECFD39B" w14:textId="77777777" w:rsidR="007C2E85" w:rsidRPr="00B72C5C" w:rsidRDefault="007C2E85" w:rsidP="007C2E85">
      <w:pPr>
        <w:pStyle w:val="Akapitzlist"/>
        <w:keepNext/>
        <w:keepLines/>
        <w:numPr>
          <w:ilvl w:val="0"/>
          <w:numId w:val="1"/>
        </w:numPr>
        <w:shd w:val="clear" w:color="auto" w:fill="DEEAF6" w:themeFill="accent1" w:themeFillTint="33"/>
        <w:tabs>
          <w:tab w:val="right" w:pos="9072"/>
        </w:tabs>
        <w:spacing w:before="120" w:after="120" w:line="240" w:lineRule="auto"/>
        <w:ind w:left="567" w:hanging="567"/>
        <w:contextualSpacing w:val="0"/>
        <w:outlineLvl w:val="0"/>
        <w:rPr>
          <w:rFonts w:ascii="Verdana" w:hAnsi="Verdana"/>
          <w:sz w:val="18"/>
          <w:szCs w:val="18"/>
        </w:rPr>
      </w:pPr>
      <w:bookmarkStart w:id="7" w:name="_Toc110932036"/>
      <w:r w:rsidRPr="00B72C5C">
        <w:rPr>
          <w:rFonts w:ascii="Verdana" w:hAnsi="Verdana"/>
          <w:sz w:val="18"/>
          <w:szCs w:val="18"/>
        </w:rPr>
        <w:t>Procedura odbioru</w:t>
      </w:r>
      <w:bookmarkEnd w:id="7"/>
    </w:p>
    <w:p w14:paraId="25F5AAF7" w14:textId="11C96523" w:rsidR="007C2E85" w:rsidRPr="00B72C5C" w:rsidRDefault="007C2E85" w:rsidP="007C2E85">
      <w:pPr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Zamawiający wspólnie z Wyk</w:t>
      </w:r>
      <w:r w:rsidR="000870CB">
        <w:rPr>
          <w:rFonts w:ascii="Verdana" w:hAnsi="Verdana"/>
          <w:sz w:val="18"/>
          <w:szCs w:val="18"/>
        </w:rPr>
        <w:t>onawcą dokonają odbioru Sprzętu</w:t>
      </w:r>
      <w:r w:rsidR="005D384F">
        <w:rPr>
          <w:rFonts w:ascii="Verdana" w:hAnsi="Verdana"/>
          <w:sz w:val="18"/>
          <w:szCs w:val="18"/>
        </w:rPr>
        <w:t xml:space="preserve"> w miejscu jego użytkowania. W ramach procedury odbioru,</w:t>
      </w:r>
      <w:r w:rsidRPr="00B72C5C">
        <w:rPr>
          <w:rFonts w:ascii="Verdana" w:hAnsi="Verdana"/>
          <w:sz w:val="18"/>
          <w:szCs w:val="18"/>
        </w:rPr>
        <w:t xml:space="preserve"> przeprowadzone zostaną czynności takie jak:</w:t>
      </w:r>
    </w:p>
    <w:p w14:paraId="5CAC8E69" w14:textId="03A55BD0" w:rsidR="007C2E85" w:rsidRPr="00B72C5C" w:rsidRDefault="000870CB" w:rsidP="007C2E85">
      <w:pPr>
        <w:pStyle w:val="Akapitzlist"/>
        <w:numPr>
          <w:ilvl w:val="1"/>
          <w:numId w:val="1"/>
        </w:numPr>
        <w:spacing w:after="160" w:line="259" w:lineRule="auto"/>
        <w:ind w:left="1134" w:hanging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weryfikacja zgodności Sprzętu</w:t>
      </w:r>
      <w:r w:rsidR="007C2E85" w:rsidRPr="00B72C5C">
        <w:rPr>
          <w:rFonts w:ascii="Verdana" w:hAnsi="Verdana"/>
          <w:sz w:val="18"/>
          <w:szCs w:val="18"/>
        </w:rPr>
        <w:t xml:space="preserve"> z zamówieniem;</w:t>
      </w:r>
    </w:p>
    <w:p w14:paraId="62E03353" w14:textId="1C9F1416" w:rsidR="007C2E85" w:rsidRPr="00B72C5C" w:rsidRDefault="007C2E85" w:rsidP="007C2E85">
      <w:pPr>
        <w:pStyle w:val="Akapitzlist"/>
        <w:numPr>
          <w:ilvl w:val="1"/>
          <w:numId w:val="1"/>
        </w:numPr>
        <w:spacing w:after="160" w:line="259" w:lineRule="auto"/>
        <w:ind w:left="1134" w:hanging="567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weryfikacja poprawności dz</w:t>
      </w:r>
      <w:r w:rsidR="00FA208D">
        <w:rPr>
          <w:rFonts w:ascii="Verdana" w:hAnsi="Verdana"/>
          <w:sz w:val="18"/>
          <w:szCs w:val="18"/>
        </w:rPr>
        <w:t>iałania Sprzętu</w:t>
      </w:r>
      <w:r w:rsidRPr="00B72C5C">
        <w:rPr>
          <w:rFonts w:ascii="Verdana" w:hAnsi="Verdana"/>
          <w:sz w:val="18"/>
          <w:szCs w:val="18"/>
        </w:rPr>
        <w:t>;</w:t>
      </w:r>
    </w:p>
    <w:p w14:paraId="6C48AB04" w14:textId="77777777" w:rsidR="007C2E85" w:rsidRPr="00B72C5C" w:rsidRDefault="007C2E85" w:rsidP="007C2E85">
      <w:pPr>
        <w:pStyle w:val="Akapitzlist"/>
        <w:numPr>
          <w:ilvl w:val="1"/>
          <w:numId w:val="1"/>
        </w:numPr>
        <w:spacing w:after="160" w:line="259" w:lineRule="auto"/>
        <w:ind w:left="1134" w:hanging="567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obustronne podpisanie protokołu odbior</w:t>
      </w:r>
      <w:r w:rsidR="000870CB">
        <w:rPr>
          <w:rFonts w:ascii="Verdana" w:hAnsi="Verdana"/>
          <w:sz w:val="18"/>
          <w:szCs w:val="18"/>
        </w:rPr>
        <w:t>u Sprzętu</w:t>
      </w:r>
      <w:r w:rsidRPr="00B72C5C">
        <w:rPr>
          <w:rFonts w:ascii="Verdana" w:hAnsi="Verdana"/>
          <w:sz w:val="18"/>
          <w:szCs w:val="18"/>
        </w:rPr>
        <w:t>.</w:t>
      </w:r>
    </w:p>
    <w:p w14:paraId="1FA519E0" w14:textId="0C2ED4BB" w:rsidR="007C2E85" w:rsidRDefault="007C2E85" w:rsidP="007C2E85">
      <w:pPr>
        <w:rPr>
          <w:rFonts w:ascii="Verdana" w:hAnsi="Verdana"/>
          <w:sz w:val="18"/>
          <w:szCs w:val="18"/>
        </w:rPr>
      </w:pPr>
    </w:p>
    <w:p w14:paraId="7BA3B7A3" w14:textId="77777777" w:rsidR="00390532" w:rsidRPr="00B72C5C" w:rsidRDefault="00390532" w:rsidP="007C2E85">
      <w:pPr>
        <w:rPr>
          <w:rFonts w:ascii="Verdana" w:hAnsi="Verdana"/>
          <w:sz w:val="18"/>
          <w:szCs w:val="18"/>
        </w:rPr>
      </w:pPr>
    </w:p>
    <w:p w14:paraId="1BDE76C7" w14:textId="50D8328C" w:rsidR="007C2E85" w:rsidRPr="00B72C5C" w:rsidRDefault="007C2E85" w:rsidP="007C2E85">
      <w:pPr>
        <w:pStyle w:val="Akapitzlist"/>
        <w:keepNext/>
        <w:keepLines/>
        <w:numPr>
          <w:ilvl w:val="0"/>
          <w:numId w:val="1"/>
        </w:numPr>
        <w:shd w:val="clear" w:color="auto" w:fill="DEEAF6" w:themeFill="accent1" w:themeFillTint="33"/>
        <w:tabs>
          <w:tab w:val="right" w:pos="9072"/>
        </w:tabs>
        <w:spacing w:line="240" w:lineRule="auto"/>
        <w:ind w:left="567" w:right="1" w:hanging="567"/>
        <w:outlineLvl w:val="0"/>
        <w:rPr>
          <w:rFonts w:ascii="Verdana" w:hAnsi="Verdana"/>
          <w:sz w:val="18"/>
          <w:szCs w:val="18"/>
        </w:rPr>
      </w:pPr>
      <w:bookmarkStart w:id="8" w:name="_Toc110932037"/>
      <w:r w:rsidRPr="00B72C5C">
        <w:rPr>
          <w:rFonts w:ascii="Verdana" w:hAnsi="Verdana"/>
          <w:sz w:val="18"/>
          <w:szCs w:val="18"/>
        </w:rPr>
        <w:t>Gwarancja</w:t>
      </w:r>
      <w:bookmarkEnd w:id="8"/>
    </w:p>
    <w:p w14:paraId="7190B4D5" w14:textId="09771AA8" w:rsidR="007C2E85" w:rsidRPr="00B72C5C" w:rsidRDefault="006438E4" w:rsidP="002A4315">
      <w:pPr>
        <w:pStyle w:val="Akapitzlist"/>
        <w:numPr>
          <w:ilvl w:val="1"/>
          <w:numId w:val="1"/>
        </w:numPr>
        <w:spacing w:before="120" w:line="240" w:lineRule="auto"/>
        <w:ind w:left="1134" w:hanging="56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Dostarczony Sprzęt MUSI być objęty</w:t>
      </w:r>
      <w:r w:rsidR="007C2E85" w:rsidRPr="00B72C5C">
        <w:rPr>
          <w:rFonts w:ascii="Verdana" w:hAnsi="Verdana"/>
          <w:sz w:val="18"/>
          <w:szCs w:val="18"/>
        </w:rPr>
        <w:t xml:space="preserve"> </w:t>
      </w:r>
      <w:r w:rsidR="000B2801" w:rsidRPr="0036537D">
        <w:rPr>
          <w:rFonts w:ascii="Verdana" w:hAnsi="Verdana"/>
          <w:sz w:val="18"/>
          <w:szCs w:val="18"/>
        </w:rPr>
        <w:t>24</w:t>
      </w:r>
      <w:r w:rsidR="007C2E85" w:rsidRPr="0036537D">
        <w:rPr>
          <w:rFonts w:ascii="Verdana" w:hAnsi="Verdana"/>
          <w:sz w:val="18"/>
          <w:szCs w:val="18"/>
        </w:rPr>
        <w:t>-miesieczną</w:t>
      </w:r>
      <w:r w:rsidR="00352D5F" w:rsidRPr="0036537D">
        <w:rPr>
          <w:rFonts w:ascii="Verdana" w:hAnsi="Verdana"/>
          <w:sz w:val="18"/>
          <w:szCs w:val="18"/>
        </w:rPr>
        <w:t xml:space="preserve"> (</w:t>
      </w:r>
      <w:r w:rsidR="000B2801" w:rsidRPr="0036537D">
        <w:rPr>
          <w:rFonts w:ascii="Verdana" w:hAnsi="Verdana"/>
          <w:sz w:val="18"/>
          <w:szCs w:val="18"/>
        </w:rPr>
        <w:t>2</w:t>
      </w:r>
      <w:r w:rsidR="007C2E85" w:rsidRPr="0036537D">
        <w:rPr>
          <w:rFonts w:ascii="Verdana" w:hAnsi="Verdana"/>
          <w:sz w:val="18"/>
          <w:szCs w:val="18"/>
        </w:rPr>
        <w:t xml:space="preserve"> lat</w:t>
      </w:r>
      <w:r w:rsidR="00410A61" w:rsidRPr="0036537D">
        <w:rPr>
          <w:rFonts w:ascii="Verdana" w:hAnsi="Verdana"/>
          <w:sz w:val="18"/>
          <w:szCs w:val="18"/>
        </w:rPr>
        <w:t>a</w:t>
      </w:r>
      <w:r w:rsidR="007C2E85" w:rsidRPr="0036537D">
        <w:rPr>
          <w:rFonts w:ascii="Verdana" w:hAnsi="Verdana"/>
          <w:sz w:val="18"/>
          <w:szCs w:val="18"/>
        </w:rPr>
        <w:t>)</w:t>
      </w:r>
      <w:r w:rsidR="007C2E85" w:rsidRPr="00B72C5C">
        <w:rPr>
          <w:rFonts w:ascii="Verdana" w:hAnsi="Verdana"/>
          <w:sz w:val="18"/>
          <w:szCs w:val="18"/>
        </w:rPr>
        <w:t xml:space="preserve"> Gwarancją liczoną od</w:t>
      </w:r>
      <w:r>
        <w:rPr>
          <w:rFonts w:ascii="Verdana" w:hAnsi="Verdana"/>
          <w:sz w:val="18"/>
          <w:szCs w:val="18"/>
        </w:rPr>
        <w:t xml:space="preserve"> </w:t>
      </w:r>
      <w:r w:rsidR="007C2E85" w:rsidRPr="00B72C5C">
        <w:rPr>
          <w:rFonts w:ascii="Verdana" w:hAnsi="Verdana"/>
          <w:sz w:val="18"/>
          <w:szCs w:val="18"/>
        </w:rPr>
        <w:t>dnia podpisania protokołu odbioru</w:t>
      </w:r>
      <w:r>
        <w:rPr>
          <w:rFonts w:ascii="Verdana" w:hAnsi="Verdana"/>
          <w:sz w:val="18"/>
          <w:szCs w:val="18"/>
        </w:rPr>
        <w:t xml:space="preserve"> dla </w:t>
      </w:r>
      <w:r w:rsidR="000870CB">
        <w:rPr>
          <w:rFonts w:ascii="Verdana" w:hAnsi="Verdana"/>
          <w:sz w:val="18"/>
          <w:szCs w:val="18"/>
        </w:rPr>
        <w:t>dostarczanego Sprzętu</w:t>
      </w:r>
      <w:r w:rsidR="007C2E85" w:rsidRPr="00B72C5C">
        <w:rPr>
          <w:rFonts w:ascii="Verdana" w:hAnsi="Verdana"/>
          <w:sz w:val="18"/>
          <w:szCs w:val="18"/>
        </w:rPr>
        <w:t xml:space="preserve"> (Tabela nr 1).</w:t>
      </w:r>
    </w:p>
    <w:p w14:paraId="0A93DD75" w14:textId="54D3899A" w:rsidR="007C2E85" w:rsidRPr="00B72C5C" w:rsidRDefault="007C2E85" w:rsidP="002A431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line="240" w:lineRule="auto"/>
        <w:ind w:left="1134" w:hanging="567"/>
        <w:contextualSpacing w:val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 xml:space="preserve">W </w:t>
      </w:r>
      <w:r w:rsidRPr="00B72C5C">
        <w:rPr>
          <w:rFonts w:ascii="Verdana" w:hAnsi="Verdana" w:cs="Calibri"/>
          <w:color w:val="000000"/>
          <w:sz w:val="18"/>
          <w:szCs w:val="18"/>
        </w:rPr>
        <w:t>ramach</w:t>
      </w:r>
      <w:r w:rsidRPr="00B72C5C">
        <w:rPr>
          <w:rFonts w:ascii="Verdana" w:hAnsi="Verdana"/>
          <w:sz w:val="18"/>
          <w:szCs w:val="18"/>
        </w:rPr>
        <w:t xml:space="preserve"> Gwarancji</w:t>
      </w:r>
      <w:r w:rsidR="007B3D1D">
        <w:rPr>
          <w:rFonts w:ascii="Verdana" w:hAnsi="Verdana"/>
          <w:sz w:val="18"/>
          <w:szCs w:val="18"/>
        </w:rPr>
        <w:t xml:space="preserve"> Zamawiający </w:t>
      </w:r>
      <w:r w:rsidRPr="00B72C5C">
        <w:rPr>
          <w:rFonts w:ascii="Verdana" w:hAnsi="Verdana"/>
          <w:sz w:val="18"/>
          <w:szCs w:val="18"/>
        </w:rPr>
        <w:t>oczekuje</w:t>
      </w:r>
      <w:r w:rsidR="007B3D1D">
        <w:rPr>
          <w:rFonts w:ascii="Verdana" w:hAnsi="Verdana"/>
          <w:sz w:val="18"/>
          <w:szCs w:val="18"/>
        </w:rPr>
        <w:t xml:space="preserve"> co najmniej</w:t>
      </w:r>
      <w:r w:rsidRPr="00B72C5C">
        <w:rPr>
          <w:rFonts w:ascii="Verdana" w:hAnsi="Verdana"/>
          <w:sz w:val="18"/>
          <w:szCs w:val="18"/>
        </w:rPr>
        <w:t>:</w:t>
      </w:r>
    </w:p>
    <w:p w14:paraId="65A37E16" w14:textId="77777777" w:rsidR="007C2E85" w:rsidRPr="00B72C5C" w:rsidRDefault="007C2E85" w:rsidP="002A431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before="120" w:line="240" w:lineRule="auto"/>
        <w:ind w:left="1797"/>
        <w:contextualSpacing w:val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bezpłatnej naprawy uszkodzonego Sprzętu;</w:t>
      </w:r>
    </w:p>
    <w:p w14:paraId="595C3701" w14:textId="65657A51" w:rsidR="007C2E85" w:rsidRPr="00B72C5C" w:rsidRDefault="007C2E85" w:rsidP="002A431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before="120" w:line="240" w:lineRule="auto"/>
        <w:ind w:left="1797"/>
        <w:contextualSpacing w:val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bezpłatnego usunię</w:t>
      </w:r>
      <w:r w:rsidR="006438E4">
        <w:rPr>
          <w:rFonts w:ascii="Verdana" w:hAnsi="Verdana"/>
          <w:sz w:val="18"/>
          <w:szCs w:val="18"/>
        </w:rPr>
        <w:t>cia wykrytych wad Sprzętu</w:t>
      </w:r>
      <w:r w:rsidRPr="00B72C5C">
        <w:rPr>
          <w:rFonts w:ascii="Verdana" w:hAnsi="Verdana"/>
          <w:sz w:val="18"/>
          <w:szCs w:val="18"/>
        </w:rPr>
        <w:t>;</w:t>
      </w:r>
    </w:p>
    <w:p w14:paraId="41B719D9" w14:textId="0528C527" w:rsidR="007C2E85" w:rsidRPr="00B72C5C" w:rsidRDefault="007C2E85" w:rsidP="002A431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before="120" w:line="240" w:lineRule="auto"/>
        <w:ind w:left="1797"/>
        <w:contextualSpacing w:val="0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instruktażu z</w:t>
      </w:r>
      <w:r w:rsidR="006438E4">
        <w:rPr>
          <w:rFonts w:ascii="Verdana" w:hAnsi="Verdana"/>
          <w:sz w:val="18"/>
          <w:szCs w:val="18"/>
        </w:rPr>
        <w:t xml:space="preserve"> obsługi dostarczonego Sprzętu</w:t>
      </w:r>
      <w:r w:rsidRPr="00B72C5C">
        <w:rPr>
          <w:rFonts w:ascii="Verdana" w:hAnsi="Verdana"/>
          <w:sz w:val="18"/>
          <w:szCs w:val="18"/>
        </w:rPr>
        <w:t>;</w:t>
      </w:r>
    </w:p>
    <w:p w14:paraId="180B37A8" w14:textId="77B29237" w:rsidR="006B6514" w:rsidRPr="002A4315" w:rsidRDefault="007C2E85" w:rsidP="002A431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before="120" w:line="240" w:lineRule="auto"/>
        <w:ind w:left="1797"/>
        <w:contextualSpacing w:val="0"/>
        <w:rPr>
          <w:rFonts w:ascii="Verdana" w:hAnsi="Verdana"/>
          <w:sz w:val="18"/>
          <w:szCs w:val="18"/>
        </w:rPr>
      </w:pPr>
      <w:r w:rsidRPr="002A4315">
        <w:rPr>
          <w:rFonts w:ascii="Verdana" w:hAnsi="Verdana"/>
          <w:sz w:val="18"/>
          <w:szCs w:val="18"/>
        </w:rPr>
        <w:t>naprawy w</w:t>
      </w:r>
      <w:r w:rsidR="006B6514" w:rsidRPr="002A4315">
        <w:rPr>
          <w:rFonts w:ascii="Verdana" w:hAnsi="Verdana"/>
          <w:sz w:val="18"/>
          <w:szCs w:val="18"/>
        </w:rPr>
        <w:t xml:space="preserve"> miejscu użytkowania Sprzętu w</w:t>
      </w:r>
      <w:r w:rsidRPr="002A4315">
        <w:rPr>
          <w:rFonts w:ascii="Verdana" w:hAnsi="Verdana"/>
          <w:sz w:val="18"/>
          <w:szCs w:val="18"/>
        </w:rPr>
        <w:t xml:space="preserve"> t</w:t>
      </w:r>
      <w:r w:rsidR="00F23312" w:rsidRPr="002A4315">
        <w:rPr>
          <w:rFonts w:ascii="Verdana" w:hAnsi="Verdana"/>
          <w:sz w:val="18"/>
          <w:szCs w:val="18"/>
        </w:rPr>
        <w:t>erminie 3</w:t>
      </w:r>
      <w:r w:rsidRPr="002A4315">
        <w:rPr>
          <w:rFonts w:ascii="Verdana" w:hAnsi="Verdana"/>
          <w:sz w:val="18"/>
          <w:szCs w:val="18"/>
        </w:rPr>
        <w:t>0 dni kalendarzowych licząc od dnia następ</w:t>
      </w:r>
      <w:r w:rsidR="000870CB" w:rsidRPr="002A4315">
        <w:rPr>
          <w:rFonts w:ascii="Verdana" w:hAnsi="Verdana"/>
          <w:sz w:val="18"/>
          <w:szCs w:val="18"/>
        </w:rPr>
        <w:t xml:space="preserve">nego od daty </w:t>
      </w:r>
      <w:r w:rsidR="006B6514" w:rsidRPr="002A4315">
        <w:rPr>
          <w:rFonts w:ascii="Verdana" w:hAnsi="Verdana"/>
          <w:sz w:val="18"/>
          <w:szCs w:val="18"/>
        </w:rPr>
        <w:t>zgłoszenia uszkodzenia</w:t>
      </w:r>
      <w:r w:rsidR="000870CB" w:rsidRPr="002A4315">
        <w:rPr>
          <w:rFonts w:ascii="Verdana" w:hAnsi="Verdana"/>
          <w:sz w:val="18"/>
          <w:szCs w:val="18"/>
        </w:rPr>
        <w:t xml:space="preserve"> Sprzętu</w:t>
      </w:r>
      <w:r w:rsidR="00365C39" w:rsidRPr="002A4315">
        <w:rPr>
          <w:rFonts w:ascii="Verdana" w:hAnsi="Verdana"/>
          <w:sz w:val="18"/>
          <w:szCs w:val="18"/>
        </w:rPr>
        <w:t xml:space="preserve">, a w przypadku braku możliwości naprawy w miejscu użytkowania </w:t>
      </w:r>
      <w:r w:rsidR="009156AF" w:rsidRPr="002A4315">
        <w:rPr>
          <w:rFonts w:ascii="Verdana" w:hAnsi="Verdana"/>
          <w:sz w:val="18"/>
          <w:szCs w:val="18"/>
        </w:rPr>
        <w:t xml:space="preserve">- </w:t>
      </w:r>
      <w:r w:rsidR="00365C39" w:rsidRPr="002A4315">
        <w:rPr>
          <w:rFonts w:ascii="Verdana" w:hAnsi="Verdana"/>
          <w:sz w:val="18"/>
          <w:szCs w:val="18"/>
        </w:rPr>
        <w:t>licząc od dnia następnego od daty wysłania Sprzętu do naprawy.</w:t>
      </w:r>
    </w:p>
    <w:p w14:paraId="478B29FA" w14:textId="77777777" w:rsidR="007C2E85" w:rsidRDefault="007C2E85" w:rsidP="002A4315">
      <w:pPr>
        <w:rPr>
          <w:rFonts w:ascii="Verdana" w:hAnsi="Verdana" w:cs="Calibri"/>
          <w:color w:val="000000"/>
          <w:sz w:val="18"/>
          <w:szCs w:val="18"/>
        </w:rPr>
      </w:pPr>
      <w:bookmarkStart w:id="9" w:name="_GoBack"/>
      <w:bookmarkEnd w:id="9"/>
    </w:p>
    <w:p w14:paraId="5DA5E2F9" w14:textId="77777777" w:rsidR="00390532" w:rsidRPr="00B72C5C" w:rsidRDefault="00390532" w:rsidP="002A4315">
      <w:pPr>
        <w:rPr>
          <w:rFonts w:ascii="Verdana" w:hAnsi="Verdana" w:cs="Calibri"/>
          <w:color w:val="000000"/>
          <w:sz w:val="18"/>
          <w:szCs w:val="18"/>
        </w:rPr>
      </w:pPr>
    </w:p>
    <w:p w14:paraId="050603B9" w14:textId="77777777" w:rsidR="007C2E85" w:rsidRPr="00B72C5C" w:rsidRDefault="007C2E85" w:rsidP="007C2E85">
      <w:pPr>
        <w:pStyle w:val="Akapitzlist"/>
        <w:keepNext/>
        <w:keepLines/>
        <w:numPr>
          <w:ilvl w:val="0"/>
          <w:numId w:val="1"/>
        </w:numPr>
        <w:shd w:val="clear" w:color="auto" w:fill="DEEAF6" w:themeFill="accent1" w:themeFillTint="33"/>
        <w:tabs>
          <w:tab w:val="right" w:pos="9072"/>
        </w:tabs>
        <w:spacing w:line="240" w:lineRule="auto"/>
        <w:ind w:left="567" w:right="1" w:hanging="567"/>
        <w:outlineLvl w:val="0"/>
        <w:rPr>
          <w:rFonts w:ascii="Verdana" w:hAnsi="Verdana"/>
          <w:sz w:val="18"/>
          <w:szCs w:val="18"/>
        </w:rPr>
      </w:pPr>
      <w:bookmarkStart w:id="10" w:name="_Toc110932038"/>
      <w:r w:rsidRPr="00B72C5C">
        <w:rPr>
          <w:rFonts w:ascii="Verdana" w:hAnsi="Verdana"/>
          <w:sz w:val="18"/>
          <w:szCs w:val="18"/>
        </w:rPr>
        <w:t>Dokumentacja</w:t>
      </w:r>
      <w:bookmarkEnd w:id="10"/>
    </w:p>
    <w:p w14:paraId="52C9731F" w14:textId="77777777" w:rsidR="007C2E85" w:rsidRPr="00B72C5C" w:rsidRDefault="007C2E85" w:rsidP="007C2E85">
      <w:pPr>
        <w:rPr>
          <w:rFonts w:ascii="Verdana" w:hAnsi="Verdana"/>
          <w:sz w:val="18"/>
          <w:szCs w:val="18"/>
        </w:rPr>
      </w:pPr>
    </w:p>
    <w:p w14:paraId="15525ED4" w14:textId="074E7DEA" w:rsidR="007C2E85" w:rsidRPr="00B72C5C" w:rsidRDefault="007C2E85" w:rsidP="002A4315">
      <w:pPr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Zamawiający oczekuje dostarczenia Dokumentacji</w:t>
      </w:r>
      <w:r w:rsidR="006D7C2E">
        <w:rPr>
          <w:rFonts w:ascii="Verdana" w:hAnsi="Verdana"/>
          <w:sz w:val="18"/>
          <w:szCs w:val="18"/>
        </w:rPr>
        <w:t xml:space="preserve"> </w:t>
      </w:r>
      <w:r w:rsidRPr="00B72C5C">
        <w:rPr>
          <w:rFonts w:ascii="Verdana" w:hAnsi="Verdana"/>
          <w:sz w:val="18"/>
          <w:szCs w:val="18"/>
        </w:rPr>
        <w:t>w języku polskim lub angielskim</w:t>
      </w:r>
      <w:r w:rsidR="006D7C2E">
        <w:rPr>
          <w:rFonts w:ascii="Verdana" w:hAnsi="Verdana"/>
          <w:sz w:val="18"/>
          <w:szCs w:val="18"/>
        </w:rPr>
        <w:t xml:space="preserve"> na etapie składania oferty</w:t>
      </w:r>
      <w:r w:rsidRPr="00B72C5C">
        <w:rPr>
          <w:rFonts w:ascii="Verdana" w:hAnsi="Verdana"/>
          <w:sz w:val="18"/>
          <w:szCs w:val="18"/>
        </w:rPr>
        <w:t>. Poniżej przedstawiono zawartość Dokumen</w:t>
      </w:r>
      <w:r w:rsidR="000870CB">
        <w:rPr>
          <w:rFonts w:ascii="Verdana" w:hAnsi="Verdana"/>
          <w:sz w:val="18"/>
          <w:szCs w:val="18"/>
        </w:rPr>
        <w:t>tacji dla zaoferowanego Sprzętu</w:t>
      </w:r>
      <w:r w:rsidRPr="00B72C5C">
        <w:rPr>
          <w:rFonts w:ascii="Verdana" w:hAnsi="Verdana"/>
          <w:sz w:val="18"/>
          <w:szCs w:val="18"/>
        </w:rPr>
        <w:t xml:space="preserve"> (Tabela nr 1), która musi zawierać m.in.:</w:t>
      </w:r>
    </w:p>
    <w:p w14:paraId="140CBA71" w14:textId="77777777" w:rsidR="007C2E85" w:rsidRPr="00B72C5C" w:rsidRDefault="007C2E85" w:rsidP="002A4315">
      <w:pPr>
        <w:pStyle w:val="Akapitzlist"/>
        <w:numPr>
          <w:ilvl w:val="1"/>
          <w:numId w:val="1"/>
        </w:numPr>
        <w:spacing w:after="160" w:line="259" w:lineRule="auto"/>
        <w:ind w:left="1134" w:hanging="567"/>
        <w:rPr>
          <w:rFonts w:ascii="Verdana" w:hAnsi="Verdana"/>
          <w:sz w:val="18"/>
          <w:szCs w:val="18"/>
        </w:rPr>
      </w:pPr>
      <w:r w:rsidRPr="00B72C5C">
        <w:rPr>
          <w:rFonts w:ascii="Verdana" w:hAnsi="Verdana"/>
          <w:sz w:val="18"/>
          <w:szCs w:val="18"/>
        </w:rPr>
        <w:t>podręcznik użytkownika;</w:t>
      </w:r>
    </w:p>
    <w:p w14:paraId="47594935" w14:textId="3E9420D9" w:rsidR="007C2E85" w:rsidRPr="00B72C5C" w:rsidRDefault="000870CB" w:rsidP="002A4315">
      <w:pPr>
        <w:pStyle w:val="Akapitzlist"/>
        <w:numPr>
          <w:ilvl w:val="1"/>
          <w:numId w:val="1"/>
        </w:numPr>
        <w:spacing w:after="160" w:line="259" w:lineRule="auto"/>
        <w:ind w:left="1134" w:hanging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specyfikację Sprzętu</w:t>
      </w:r>
      <w:r w:rsidR="007C2E85" w:rsidRPr="00B72C5C">
        <w:rPr>
          <w:rFonts w:ascii="Verdana" w:hAnsi="Verdana"/>
          <w:sz w:val="18"/>
          <w:szCs w:val="18"/>
        </w:rPr>
        <w:t>;</w:t>
      </w:r>
    </w:p>
    <w:p w14:paraId="19803234" w14:textId="02BE487C" w:rsidR="007C2E85" w:rsidRDefault="004E4654" w:rsidP="002A4315">
      <w:pPr>
        <w:pStyle w:val="Akapitzlist"/>
        <w:numPr>
          <w:ilvl w:val="1"/>
          <w:numId w:val="1"/>
        </w:numPr>
        <w:spacing w:after="160" w:line="259" w:lineRule="auto"/>
        <w:ind w:left="1134" w:hanging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certyfikat/dokument Gwarancji.</w:t>
      </w:r>
    </w:p>
    <w:sectPr w:rsidR="007C2E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4ED69" w14:textId="77777777" w:rsidR="001D65F2" w:rsidRDefault="001D65F2" w:rsidP="007C2E85">
      <w:pPr>
        <w:spacing w:line="240" w:lineRule="auto"/>
      </w:pPr>
      <w:r>
        <w:separator/>
      </w:r>
    </w:p>
  </w:endnote>
  <w:endnote w:type="continuationSeparator" w:id="0">
    <w:p w14:paraId="091BC90A" w14:textId="77777777" w:rsidR="001D65F2" w:rsidRDefault="001D65F2" w:rsidP="007C2E85">
      <w:pPr>
        <w:spacing w:line="240" w:lineRule="auto"/>
      </w:pPr>
      <w:r>
        <w:continuationSeparator/>
      </w:r>
    </w:p>
  </w:endnote>
  <w:endnote w:type="continuationNotice" w:id="1">
    <w:p w14:paraId="2DEFC59A" w14:textId="77777777" w:rsidR="001D65F2" w:rsidRDefault="001D65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117AA" w14:textId="77777777" w:rsidR="009522F7" w:rsidRDefault="009522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1A895" w14:textId="77777777" w:rsidR="009522F7" w:rsidRDefault="009522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A917B" w14:textId="77777777" w:rsidR="009522F7" w:rsidRDefault="009522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43E4F" w14:textId="77777777" w:rsidR="001D65F2" w:rsidRDefault="001D65F2" w:rsidP="007C2E85">
      <w:pPr>
        <w:spacing w:line="240" w:lineRule="auto"/>
      </w:pPr>
      <w:r>
        <w:separator/>
      </w:r>
    </w:p>
  </w:footnote>
  <w:footnote w:type="continuationSeparator" w:id="0">
    <w:p w14:paraId="058390E0" w14:textId="77777777" w:rsidR="001D65F2" w:rsidRDefault="001D65F2" w:rsidP="007C2E85">
      <w:pPr>
        <w:spacing w:line="240" w:lineRule="auto"/>
      </w:pPr>
      <w:r>
        <w:continuationSeparator/>
      </w:r>
    </w:p>
  </w:footnote>
  <w:footnote w:type="continuationNotice" w:id="1">
    <w:p w14:paraId="401A7093" w14:textId="77777777" w:rsidR="001D65F2" w:rsidRDefault="001D65F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F3A7" w14:textId="77777777" w:rsidR="009522F7" w:rsidRDefault="009522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69F54" w14:textId="77777777" w:rsidR="009522F7" w:rsidRDefault="009522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2E075" w14:textId="77777777" w:rsidR="009522F7" w:rsidRDefault="009522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69AA"/>
    <w:multiLevelType w:val="hybridMultilevel"/>
    <w:tmpl w:val="6FC0A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87FE1"/>
    <w:multiLevelType w:val="hybridMultilevel"/>
    <w:tmpl w:val="453EF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A483D"/>
    <w:multiLevelType w:val="hybridMultilevel"/>
    <w:tmpl w:val="3A4E3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A534E6"/>
    <w:multiLevelType w:val="hybridMultilevel"/>
    <w:tmpl w:val="B7E8B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83B9F"/>
    <w:multiLevelType w:val="hybridMultilevel"/>
    <w:tmpl w:val="C336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F43B4"/>
    <w:multiLevelType w:val="multilevel"/>
    <w:tmpl w:val="D256D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85"/>
    <w:rsid w:val="00010860"/>
    <w:rsid w:val="000522EC"/>
    <w:rsid w:val="00075A4D"/>
    <w:rsid w:val="000870CB"/>
    <w:rsid w:val="0009098B"/>
    <w:rsid w:val="000B2801"/>
    <w:rsid w:val="000E054D"/>
    <w:rsid w:val="000F31E5"/>
    <w:rsid w:val="00102431"/>
    <w:rsid w:val="00107933"/>
    <w:rsid w:val="00115A47"/>
    <w:rsid w:val="00163E49"/>
    <w:rsid w:val="001B69B0"/>
    <w:rsid w:val="001B6DE9"/>
    <w:rsid w:val="001C34CC"/>
    <w:rsid w:val="001D65F2"/>
    <w:rsid w:val="001D72C1"/>
    <w:rsid w:val="001E2F96"/>
    <w:rsid w:val="00225AC9"/>
    <w:rsid w:val="00250517"/>
    <w:rsid w:val="00250DBF"/>
    <w:rsid w:val="0027620F"/>
    <w:rsid w:val="00282AA4"/>
    <w:rsid w:val="0029501E"/>
    <w:rsid w:val="002A4315"/>
    <w:rsid w:val="002A490F"/>
    <w:rsid w:val="002C3D1D"/>
    <w:rsid w:val="002E025F"/>
    <w:rsid w:val="002E03E3"/>
    <w:rsid w:val="002E1764"/>
    <w:rsid w:val="002F33DA"/>
    <w:rsid w:val="00352D5F"/>
    <w:rsid w:val="00357B56"/>
    <w:rsid w:val="0036537D"/>
    <w:rsid w:val="00365C39"/>
    <w:rsid w:val="00390532"/>
    <w:rsid w:val="003C3E2D"/>
    <w:rsid w:val="003C782B"/>
    <w:rsid w:val="003E0661"/>
    <w:rsid w:val="003F3023"/>
    <w:rsid w:val="00404E2E"/>
    <w:rsid w:val="00410A61"/>
    <w:rsid w:val="004D1900"/>
    <w:rsid w:val="004E1F94"/>
    <w:rsid w:val="004E4654"/>
    <w:rsid w:val="00506067"/>
    <w:rsid w:val="0053507C"/>
    <w:rsid w:val="00537E43"/>
    <w:rsid w:val="00551F78"/>
    <w:rsid w:val="00592190"/>
    <w:rsid w:val="005A3D8E"/>
    <w:rsid w:val="005D384F"/>
    <w:rsid w:val="005D6AAB"/>
    <w:rsid w:val="006438E4"/>
    <w:rsid w:val="006526F9"/>
    <w:rsid w:val="006B6514"/>
    <w:rsid w:val="006D42A8"/>
    <w:rsid w:val="006D7C2E"/>
    <w:rsid w:val="006E2B9A"/>
    <w:rsid w:val="00710233"/>
    <w:rsid w:val="0071340F"/>
    <w:rsid w:val="00731EB8"/>
    <w:rsid w:val="00742D5C"/>
    <w:rsid w:val="00752B40"/>
    <w:rsid w:val="007B3637"/>
    <w:rsid w:val="007B38D8"/>
    <w:rsid w:val="007B3D1D"/>
    <w:rsid w:val="007C2E85"/>
    <w:rsid w:val="00815D97"/>
    <w:rsid w:val="008611EA"/>
    <w:rsid w:val="00871079"/>
    <w:rsid w:val="00885564"/>
    <w:rsid w:val="0089112C"/>
    <w:rsid w:val="008A3ED6"/>
    <w:rsid w:val="008E538B"/>
    <w:rsid w:val="009156AF"/>
    <w:rsid w:val="0093355C"/>
    <w:rsid w:val="00945B02"/>
    <w:rsid w:val="009522F7"/>
    <w:rsid w:val="00955926"/>
    <w:rsid w:val="00973BE2"/>
    <w:rsid w:val="00976185"/>
    <w:rsid w:val="00976FE5"/>
    <w:rsid w:val="0099779E"/>
    <w:rsid w:val="009B3C8C"/>
    <w:rsid w:val="009F42F7"/>
    <w:rsid w:val="00A34869"/>
    <w:rsid w:val="00A3518A"/>
    <w:rsid w:val="00A4311C"/>
    <w:rsid w:val="00A5770F"/>
    <w:rsid w:val="00AB3DC5"/>
    <w:rsid w:val="00AC513F"/>
    <w:rsid w:val="00AF208C"/>
    <w:rsid w:val="00B443EF"/>
    <w:rsid w:val="00BC4709"/>
    <w:rsid w:val="00BE0782"/>
    <w:rsid w:val="00BF1129"/>
    <w:rsid w:val="00C06F95"/>
    <w:rsid w:val="00C5427F"/>
    <w:rsid w:val="00C811D2"/>
    <w:rsid w:val="00C87247"/>
    <w:rsid w:val="00CF1FD4"/>
    <w:rsid w:val="00CF3E8E"/>
    <w:rsid w:val="00D04D43"/>
    <w:rsid w:val="00D451C9"/>
    <w:rsid w:val="00D5451D"/>
    <w:rsid w:val="00DC77FB"/>
    <w:rsid w:val="00DF2094"/>
    <w:rsid w:val="00E11D06"/>
    <w:rsid w:val="00E24DC3"/>
    <w:rsid w:val="00E71A87"/>
    <w:rsid w:val="00E93709"/>
    <w:rsid w:val="00EA227F"/>
    <w:rsid w:val="00EC33F4"/>
    <w:rsid w:val="00ED4F06"/>
    <w:rsid w:val="00F23312"/>
    <w:rsid w:val="00F43597"/>
    <w:rsid w:val="00F47ECD"/>
    <w:rsid w:val="00F63DBB"/>
    <w:rsid w:val="00FA208D"/>
    <w:rsid w:val="00FA6636"/>
    <w:rsid w:val="00FC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4AC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2E85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Akapit z listą;1_literowka,1_literowka,Literowanie,Punktowanie,1) AaA,RR PGE Akapit z listą,1_literowka Znak Znak,Literowanie Znak Znak,RR PGE Akapit z listą Znak Znak,Styl 1,lp1,List Paragraph1,List Paragraph2,ISCG Numerowanie"/>
    <w:basedOn w:val="Normalny"/>
    <w:link w:val="AkapitzlistZnak"/>
    <w:uiPriority w:val="34"/>
    <w:qFormat/>
    <w:rsid w:val="007C2E8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C2E8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2E85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C2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7C2E85"/>
    <w:rPr>
      <w:sz w:val="16"/>
      <w:szCs w:val="16"/>
    </w:rPr>
  </w:style>
  <w:style w:type="character" w:customStyle="1" w:styleId="AkapitzlistZnak">
    <w:name w:val="Akapit z listą Znak"/>
    <w:aliases w:val="Preambuła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uiPriority w:val="34"/>
    <w:qFormat/>
    <w:rsid w:val="007C2E8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7C2E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7C2E85"/>
    <w:pPr>
      <w:spacing w:after="200" w:line="240" w:lineRule="auto"/>
      <w:jc w:val="left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2E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E85"/>
    <w:rPr>
      <w:rFonts w:ascii="Segoe UI" w:eastAsia="Times New Roman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E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E8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F31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1E5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F31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1E5"/>
    <w:rPr>
      <w:rFonts w:ascii="Times New Roman" w:eastAsia="Times New Roman" w:hAnsi="Times New Roman" w:cs="Times New Roman"/>
      <w:szCs w:val="20"/>
    </w:rPr>
  </w:style>
  <w:style w:type="paragraph" w:customStyle="1" w:styleId="Normal1">
    <w:name w:val="Normal 1"/>
    <w:basedOn w:val="Normalny"/>
    <w:qFormat/>
    <w:rsid w:val="00A5770F"/>
    <w:pPr>
      <w:spacing w:before="60" w:after="60" w:line="240" w:lineRule="auto"/>
      <w:ind w:left="431"/>
    </w:pPr>
    <w:rPr>
      <w:rFonts w:ascii="Arial" w:eastAsia="Calibri" w:hAnsi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B994CF84EAD74BB1E1FF6D45B15B75" ma:contentTypeVersion="" ma:contentTypeDescription="Utwórz nowy dokument." ma:contentTypeScope="" ma:versionID="5d53beeefbdbab5ad26d36db8a4bbeb2">
  <xsd:schema xmlns:xsd="http://www.w3.org/2001/XMLSchema" xmlns:xs="http://www.w3.org/2001/XMLSchema" xmlns:p="http://schemas.microsoft.com/office/2006/metadata/properties" xmlns:ns2="866bb4c3-c780-4dc8-b7b1-60a5e6c0a21c" targetNamespace="http://schemas.microsoft.com/office/2006/metadata/properties" ma:root="true" ma:fieldsID="b0fb0df9800fed023a5b2ff1e03be501" ns2:_="">
    <xsd:import namespace="866bb4c3-c780-4dc8-b7b1-60a5e6c0a2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bb4c3-c780-4dc8-b7b1-60a5e6c0a21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95B15B-5F15-43BD-BDED-485BF70E77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B1BFD-89E0-40CA-A65E-65C75A3E7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6bb4c3-c780-4dc8-b7b1-60a5e6c0a2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8F0EDA-B4AE-46AC-8255-CC561ADAA9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2024-09-03T07:22:00Z</dcterms:created>
  <dcterms:modified xsi:type="dcterms:W3CDTF">2024-09-30T13:23:00Z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0x01010020B994CF84EAD74BB1E1FF6D45B15B75</vt:lpwstr>
  </property>
  <property fmtid="{D5CDD505-2E9C-101B-9397-08002B2CF9AE}" pid="3" name="_dlc_DocIdItemGuid">
    <vt:lpwstr>57586520-77e0-45fb-a9f3-311870af953e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2024-08-27T14:20:27Z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4098711c-e998-40f3-af6d-830fb24df6e6</vt:lpwstr>
  </property>
  <property fmtid="{D5CDD505-2E9C-101B-9397-08002B2CF9AE}" pid="10" name="MSIP_Label_66b5d990-821a-4d41-b503-280f184b2126_ContentBits">
    <vt:lpwstr>0</vt:lpwstr>
  </property>
</Properties>
</file>