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07D" w:rsidRDefault="00C55295">
      <w:pPr>
        <w:pStyle w:val="Style6"/>
        <w:keepNext/>
        <w:keepLines/>
        <w:spacing w:before="1760"/>
      </w:pPr>
      <w:bookmarkStart w:id="0" w:name="bookmark5"/>
      <w:r>
        <w:rPr>
          <w:rStyle w:val="CharStyle7"/>
          <w:b/>
          <w:bCs/>
        </w:rPr>
        <w:t>STANDARD CIO</w:t>
      </w:r>
      <w:bookmarkEnd w:id="0"/>
    </w:p>
    <w:p w:rsidR="0037407D" w:rsidRDefault="00C55295">
      <w:pPr>
        <w:pStyle w:val="Style6"/>
        <w:keepNext/>
        <w:keepLines/>
        <w:spacing w:before="0" w:after="1120"/>
      </w:pPr>
      <w:bookmarkStart w:id="1" w:name="bookmark7"/>
      <w:r>
        <w:rPr>
          <w:rStyle w:val="CharStyle7"/>
          <w:b/>
          <w:bCs/>
        </w:rPr>
        <w:t>CIO-STD-2022-04</w:t>
      </w:r>
      <w:bookmarkEnd w:id="1"/>
    </w:p>
    <w:p w:rsidR="0037407D" w:rsidRDefault="00C55295">
      <w:pPr>
        <w:pStyle w:val="Style6"/>
        <w:keepNext/>
        <w:keepLines/>
        <w:spacing w:before="0" w:after="0"/>
      </w:pPr>
      <w:bookmarkStart w:id="2" w:name="bookmark9"/>
      <w:r>
        <w:rPr>
          <w:rStyle w:val="CharStyle7"/>
          <w:b/>
          <w:bCs/>
        </w:rPr>
        <w:t>Standardy infrastrukturalne ICT</w:t>
      </w:r>
      <w:bookmarkStart w:id="3" w:name="_GoBack"/>
      <w:bookmarkEnd w:id="2"/>
      <w:bookmarkEnd w:id="3"/>
      <w:r>
        <w:br w:type="page"/>
      </w:r>
    </w:p>
    <w:p w:rsidR="0037407D" w:rsidRDefault="00C55295">
      <w:pPr>
        <w:pStyle w:val="Style13"/>
        <w:spacing w:line="240" w:lineRule="auto"/>
        <w:rPr>
          <w:sz w:val="19"/>
          <w:szCs w:val="19"/>
        </w:rPr>
      </w:pPr>
      <w:r>
        <w:rPr>
          <w:rStyle w:val="CharStyle14"/>
          <w:sz w:val="19"/>
          <w:szCs w:val="19"/>
        </w:rPr>
        <w:lastRenderedPageBreak/>
        <w:t>Metryka dokumentu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7282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Tytuł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Standardy infrastrukturalne ICT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Identyfikator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CIO-STD-2022-04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Wersja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1.0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Autor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Wdowiak Krzysztof [PGE S.A.]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spacing w:line="295" w:lineRule="auto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Ostatnio modyfikował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Wiśniewski Marek [PGE S.A.]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Obszar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ICT/OT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Data utworzenia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12 sierpnia 2022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Data modyfikacji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3 listopada 2022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Pocz. obowiązywania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1 paź 2022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Adresat Standardu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Cała Grupa Kapitałowa PGE S.A.</w:t>
            </w:r>
          </w:p>
        </w:tc>
      </w:tr>
    </w:tbl>
    <w:p w:rsidR="0037407D" w:rsidRDefault="0037407D">
      <w:pPr>
        <w:spacing w:after="779" w:line="1" w:lineRule="exact"/>
      </w:pPr>
    </w:p>
    <w:p w:rsidR="0037407D" w:rsidRDefault="0037407D">
      <w:pPr>
        <w:spacing w:line="1" w:lineRule="exact"/>
      </w:pPr>
    </w:p>
    <w:p w:rsidR="0037407D" w:rsidRDefault="00C55295">
      <w:pPr>
        <w:pStyle w:val="Style13"/>
        <w:spacing w:line="240" w:lineRule="auto"/>
        <w:rPr>
          <w:sz w:val="19"/>
          <w:szCs w:val="19"/>
        </w:rPr>
      </w:pPr>
      <w:r>
        <w:rPr>
          <w:rStyle w:val="CharStyle14"/>
          <w:sz w:val="19"/>
          <w:szCs w:val="19"/>
        </w:rPr>
        <w:t>Historia zmian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6"/>
        <w:gridCol w:w="854"/>
        <w:gridCol w:w="1378"/>
        <w:gridCol w:w="4670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Autor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Wersja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Data zmiany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rPr>
                <w:sz w:val="19"/>
                <w:szCs w:val="19"/>
              </w:rPr>
            </w:pPr>
            <w:r>
              <w:rPr>
                <w:rStyle w:val="CharStyle17"/>
                <w:sz w:val="19"/>
                <w:szCs w:val="19"/>
              </w:rPr>
              <w:t>Skrócony opis zmiany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spacing w:before="120"/>
            </w:pPr>
            <w:r>
              <w:rPr>
                <w:rStyle w:val="CharStyle17"/>
              </w:rPr>
              <w:t>Wdowiak Krzysztof [PGE S.A.]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spacing w:before="120"/>
            </w:pPr>
            <w:r>
              <w:rPr>
                <w:rStyle w:val="CharStyle17"/>
              </w:rPr>
              <w:t>1.0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tabs>
                <w:tab w:val="left" w:pos="499"/>
              </w:tabs>
              <w:spacing w:after="80"/>
            </w:pPr>
            <w:r>
              <w:rPr>
                <w:rStyle w:val="CharStyle17"/>
              </w:rPr>
              <w:t>14</w:t>
            </w:r>
            <w:r>
              <w:rPr>
                <w:rStyle w:val="CharStyle17"/>
              </w:rPr>
              <w:tab/>
              <w:t>września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2022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spacing w:line="360" w:lineRule="auto"/>
            </w:pPr>
            <w:r>
              <w:rPr>
                <w:rStyle w:val="CharStyle17"/>
              </w:rPr>
              <w:t>Utworzenie dokumentu, konsultacje w ramach Zespołu Architektury Korporacyjnej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spacing w:before="120"/>
            </w:pPr>
            <w:r>
              <w:rPr>
                <w:rStyle w:val="CharStyle17"/>
              </w:rPr>
              <w:t>Komitet Teleinformatyki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spacing w:before="120"/>
            </w:pPr>
            <w:r>
              <w:rPr>
                <w:rStyle w:val="CharStyle17"/>
              </w:rPr>
              <w:t>1.0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spacing w:line="360" w:lineRule="auto"/>
            </w:pPr>
            <w:r>
              <w:rPr>
                <w:rStyle w:val="CharStyle17"/>
              </w:rPr>
              <w:t>20 października 2022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spacing w:before="120"/>
            </w:pPr>
            <w:r>
              <w:rPr>
                <w:rStyle w:val="CharStyle17"/>
              </w:rPr>
              <w:t>Zatwierdzenie Standardu CIO przez KTI</w:t>
            </w:r>
          </w:p>
        </w:tc>
      </w:tr>
    </w:tbl>
    <w:p w:rsidR="0037407D" w:rsidRDefault="00C55295">
      <w:pPr>
        <w:pStyle w:val="Style19"/>
        <w:spacing w:after="760" w:line="240" w:lineRule="auto"/>
        <w:jc w:val="both"/>
      </w:pPr>
      <w:r>
        <w:rPr>
          <w:rStyle w:val="CharStyle20"/>
        </w:rPr>
        <w:t>Spis treści</w:t>
      </w:r>
    </w:p>
    <w:p w:rsidR="0037407D" w:rsidRDefault="00C55295">
      <w:pPr>
        <w:pStyle w:val="Style21"/>
        <w:numPr>
          <w:ilvl w:val="0"/>
          <w:numId w:val="1"/>
        </w:numPr>
        <w:tabs>
          <w:tab w:val="left" w:pos="425"/>
          <w:tab w:val="right" w:leader="dot" w:pos="9329"/>
        </w:tabs>
        <w:ind w:firstLine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rStyle w:val="CharStyle22"/>
          <w:b/>
          <w:bCs/>
        </w:rPr>
        <w:t>Podsumowanie</w:t>
      </w:r>
      <w:r>
        <w:rPr>
          <w:rStyle w:val="CharStyle22"/>
          <w:b/>
          <w:bCs/>
        </w:rPr>
        <w:tab/>
        <w:t>4</w:t>
      </w:r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right" w:leader="dot" w:pos="9337"/>
        </w:tabs>
        <w:jc w:val="both"/>
      </w:pPr>
      <w:hyperlink w:anchor="bookmark13" w:tooltip="Current Document">
        <w:r>
          <w:rPr>
            <w:rStyle w:val="CharStyle22"/>
          </w:rPr>
          <w:t xml:space="preserve">Cel i zakres </w:t>
        </w:r>
        <w:r>
          <w:rPr>
            <w:rStyle w:val="CharStyle22"/>
          </w:rPr>
          <w:tab/>
          <w:t>4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30"/>
          <w:tab w:val="right" w:leader="dot" w:pos="9337"/>
        </w:tabs>
        <w:jc w:val="both"/>
      </w:pPr>
      <w:hyperlink w:anchor="bookmark16" w:tooltip="Current Document">
        <w:r>
          <w:rPr>
            <w:rStyle w:val="CharStyle22"/>
          </w:rPr>
          <w:t>Właściciel</w:t>
        </w:r>
        <w:r>
          <w:rPr>
            <w:rStyle w:val="CharStyle22"/>
          </w:rPr>
          <w:tab/>
        </w:r>
        <w:r>
          <w:rPr>
            <w:rStyle w:val="CharStyle22"/>
          </w:rPr>
          <w:tab/>
          <w:t>4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16"/>
          <w:tab w:val="right" w:leader="dot" w:pos="9337"/>
        </w:tabs>
        <w:jc w:val="both"/>
      </w:pPr>
      <w:hyperlink w:anchor="bookmark19" w:tooltip="Current Document">
        <w:r>
          <w:rPr>
            <w:rStyle w:val="CharStyle22"/>
          </w:rPr>
          <w:t>Przeglądy</w:t>
        </w:r>
        <w:r>
          <w:rPr>
            <w:rStyle w:val="CharStyle22"/>
          </w:rPr>
          <w:tab/>
          <w:t>i zmiany</w:t>
        </w:r>
        <w:r>
          <w:rPr>
            <w:rStyle w:val="CharStyle22"/>
          </w:rPr>
          <w:tab/>
          <w:t>4</w:t>
        </w:r>
      </w:hyperlink>
    </w:p>
    <w:p w:rsidR="0037407D" w:rsidRDefault="00C55295">
      <w:pPr>
        <w:pStyle w:val="Style21"/>
        <w:numPr>
          <w:ilvl w:val="0"/>
          <w:numId w:val="1"/>
        </w:numPr>
        <w:tabs>
          <w:tab w:val="left" w:pos="425"/>
          <w:tab w:val="right" w:leader="dot" w:pos="9329"/>
        </w:tabs>
        <w:ind w:firstLine="0"/>
        <w:jc w:val="both"/>
      </w:pPr>
      <w:hyperlink w:anchor="bookmark22" w:tooltip="Current Document">
        <w:r>
          <w:rPr>
            <w:rStyle w:val="CharStyle22"/>
            <w:b/>
            <w:bCs/>
          </w:rPr>
          <w:t xml:space="preserve">Wykaz standardów ICT </w:t>
        </w:r>
        <w:r>
          <w:rPr>
            <w:rStyle w:val="CharStyle22"/>
            <w:b/>
            <w:bCs/>
          </w:rPr>
          <w:tab/>
          <w:t>5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50"/>
          <w:tab w:val="left" w:pos="2419"/>
          <w:tab w:val="right" w:leader="dot" w:pos="9337"/>
        </w:tabs>
        <w:jc w:val="both"/>
      </w:pPr>
      <w:hyperlink w:anchor="bookmark25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infrastruktury pasywnej </w:t>
        </w:r>
        <w:r>
          <w:rPr>
            <w:rStyle w:val="CharStyle22"/>
          </w:rPr>
          <w:tab/>
          <w:t>5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50"/>
          <w:tab w:val="left" w:pos="2419"/>
          <w:tab w:val="right" w:leader="dot" w:pos="9337"/>
        </w:tabs>
        <w:jc w:val="both"/>
      </w:pPr>
      <w:hyperlink w:anchor="bookmark34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serwerów fizycznych </w:t>
        </w:r>
        <w:r>
          <w:rPr>
            <w:rStyle w:val="CharStyle22"/>
          </w:rPr>
          <w:tab/>
          <w:t>6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50"/>
          <w:tab w:val="left" w:pos="2419"/>
          <w:tab w:val="right" w:leader="dot" w:pos="9337"/>
        </w:tabs>
        <w:jc w:val="both"/>
      </w:pPr>
      <w:hyperlink w:anchor="bookmark43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macierzy dyskowych </w:t>
        </w:r>
        <w:r>
          <w:rPr>
            <w:rStyle w:val="CharStyle22"/>
          </w:rPr>
          <w:tab/>
          <w:t>6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50"/>
          <w:tab w:val="left" w:pos="2419"/>
          <w:tab w:val="right" w:leader="dot" w:pos="9337"/>
        </w:tabs>
        <w:jc w:val="both"/>
      </w:pPr>
      <w:hyperlink w:anchor="bookmark52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specjalizowanych urządzeń składowania kopii bezpieczeństwa </w:t>
        </w:r>
        <w:r>
          <w:rPr>
            <w:rStyle w:val="CharStyle22"/>
          </w:rPr>
          <w:tab/>
          <w:t>6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50"/>
          <w:tab w:val="left" w:pos="2419"/>
          <w:tab w:val="right" w:leader="dot" w:pos="9337"/>
        </w:tabs>
        <w:jc w:val="both"/>
      </w:pPr>
      <w:hyperlink w:anchor="bookmark55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urządzeń sieci SAN </w:t>
        </w:r>
        <w:r>
          <w:rPr>
            <w:rStyle w:val="CharStyle22"/>
          </w:rPr>
          <w:tab/>
          <w:t>7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50"/>
          <w:tab w:val="left" w:pos="2419"/>
          <w:tab w:val="right" w:leader="dot" w:pos="9337"/>
        </w:tabs>
        <w:jc w:val="both"/>
      </w:pPr>
      <w:r>
        <w:rPr>
          <w:rStyle w:val="CharStyle22"/>
        </w:rPr>
        <w:t>Standardy</w:t>
      </w:r>
      <w:r>
        <w:rPr>
          <w:rStyle w:val="CharStyle22"/>
        </w:rPr>
        <w:tab/>
        <w:t>dla</w:t>
      </w:r>
      <w:r>
        <w:rPr>
          <w:rStyle w:val="CharStyle22"/>
        </w:rPr>
        <w:tab/>
        <w:t xml:space="preserve">urządzeń sieci LAN/WLAN/WAN </w:t>
      </w:r>
      <w:r>
        <w:rPr>
          <w:rStyle w:val="CharStyle22"/>
        </w:rPr>
        <w:tab/>
        <w:t>7</w:t>
      </w:r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50"/>
          <w:tab w:val="left" w:pos="2419"/>
          <w:tab w:val="right" w:leader="dot" w:pos="9337"/>
        </w:tabs>
        <w:jc w:val="both"/>
      </w:pPr>
      <w:hyperlink w:anchor="bookmark64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urządzeń na styku z siecią Internet oraz zdalny dostęp </w:t>
        </w:r>
        <w:r>
          <w:rPr>
            <w:rStyle w:val="CharStyle22"/>
          </w:rPr>
          <w:tab/>
          <w:t>8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50"/>
          <w:tab w:val="left" w:pos="2419"/>
          <w:tab w:val="right" w:leader="dot" w:pos="9337"/>
        </w:tabs>
        <w:jc w:val="both"/>
      </w:pPr>
      <w:hyperlink w:anchor="bookmark73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systemów operacyjnych z rodziny UNIX/Linux </w:t>
        </w:r>
        <w:r>
          <w:rPr>
            <w:rStyle w:val="CharStyle22"/>
          </w:rPr>
          <w:tab/>
          <w:t>9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41"/>
          <w:tab w:val="left" w:pos="2050"/>
          <w:tab w:val="left" w:pos="2419"/>
          <w:tab w:val="right" w:leader="dot" w:pos="9337"/>
        </w:tabs>
        <w:jc w:val="both"/>
      </w:pPr>
      <w:hyperlink w:anchor="bookmark76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systemów operacyjnych z rodziny Windows </w:t>
        </w:r>
        <w:r>
          <w:rPr>
            <w:rStyle w:val="CharStyle22"/>
          </w:rPr>
          <w:tab/>
          <w:t>9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902"/>
          <w:tab w:val="left" w:pos="2050"/>
          <w:tab w:val="left" w:pos="2419"/>
          <w:tab w:val="right" w:leader="dot" w:pos="9337"/>
        </w:tabs>
        <w:jc w:val="both"/>
      </w:pPr>
      <w:hyperlink w:anchor="bookmark85" w:tooltip="Current Document">
        <w:r>
          <w:rPr>
            <w:rStyle w:val="CharStyle22"/>
          </w:rPr>
          <w:t>Sta</w:t>
        </w:r>
        <w:r>
          <w:rPr>
            <w:rStyle w:val="CharStyle22"/>
          </w:rPr>
          <w:t>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baz danych </w:t>
        </w:r>
        <w:r>
          <w:rPr>
            <w:rStyle w:val="CharStyle22"/>
          </w:rPr>
          <w:tab/>
          <w:t>9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69"/>
          <w:tab w:val="left" w:pos="2050"/>
          <w:tab w:val="left" w:pos="2419"/>
          <w:tab w:val="right" w:leader="dot" w:pos="9337"/>
        </w:tabs>
        <w:jc w:val="both"/>
      </w:pPr>
      <w:hyperlink w:anchor="bookmark88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 xml:space="preserve">wirtualizacji serwerów </w:t>
        </w:r>
        <w:r>
          <w:rPr>
            <w:rStyle w:val="CharStyle22"/>
          </w:rPr>
          <w:tab/>
          <w:t>9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93"/>
          <w:tab w:val="right" w:leader="dot" w:pos="9329"/>
        </w:tabs>
        <w:ind w:left="280" w:firstLine="0"/>
      </w:pPr>
      <w:hyperlink w:anchor="bookmark91" w:tooltip="Current Document">
        <w:r>
          <w:rPr>
            <w:rStyle w:val="CharStyle22"/>
          </w:rPr>
          <w:t>Standardy dla rozwiązań wysokodostępnych (HA i DR) w zakresie systemów</w:t>
        </w:r>
      </w:hyperlink>
    </w:p>
    <w:p w:rsidR="0037407D" w:rsidRDefault="00C55295">
      <w:pPr>
        <w:pStyle w:val="Style21"/>
        <w:tabs>
          <w:tab w:val="left" w:pos="893"/>
          <w:tab w:val="right" w:leader="dot" w:pos="9329"/>
        </w:tabs>
        <w:ind w:left="280" w:firstLine="0"/>
      </w:pPr>
      <w:hyperlink w:anchor="bookmark91" w:tooltip="Current Document">
        <w:r>
          <w:rPr>
            <w:rStyle w:val="CharStyle22"/>
          </w:rPr>
          <w:t>operacyjnych</w:t>
        </w:r>
        <w:r>
          <w:rPr>
            <w:rStyle w:val="CharStyle22"/>
          </w:rPr>
          <w:tab/>
          <w:t>9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93"/>
          <w:tab w:val="right" w:pos="2238"/>
          <w:tab w:val="right" w:pos="3299"/>
          <w:tab w:val="left" w:pos="3504"/>
          <w:tab w:val="center" w:pos="5798"/>
          <w:tab w:val="center" w:pos="5914"/>
          <w:tab w:val="right" w:leader="dot" w:pos="9337"/>
        </w:tabs>
        <w:jc w:val="both"/>
      </w:pPr>
      <w:hyperlink w:anchor="bookmark100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>rozwiązań</w:t>
        </w:r>
        <w:r>
          <w:rPr>
            <w:rStyle w:val="CharStyle22"/>
          </w:rPr>
          <w:tab/>
          <w:t>wysokodostępnych (HA</w:t>
        </w:r>
        <w:r>
          <w:rPr>
            <w:rStyle w:val="CharStyle22"/>
          </w:rPr>
          <w:tab/>
          <w:t>i</w:t>
        </w:r>
        <w:r>
          <w:rPr>
            <w:rStyle w:val="CharStyle22"/>
          </w:rPr>
          <w:tab/>
          <w:t xml:space="preserve">DR) w zakresie baz danych </w:t>
        </w:r>
        <w:r>
          <w:rPr>
            <w:rStyle w:val="CharStyle22"/>
          </w:rPr>
          <w:tab/>
          <w:t>10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902"/>
          <w:tab w:val="right" w:pos="2238"/>
          <w:tab w:val="right" w:pos="3299"/>
          <w:tab w:val="left" w:pos="3504"/>
          <w:tab w:val="right" w:leader="dot" w:pos="9337"/>
        </w:tabs>
        <w:jc w:val="both"/>
      </w:pPr>
      <w:hyperlink w:anchor="bookmark103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>systemów</w:t>
        </w:r>
        <w:r>
          <w:rPr>
            <w:rStyle w:val="CharStyle22"/>
          </w:rPr>
          <w:tab/>
          <w:t xml:space="preserve">zabezpieczania danych </w:t>
        </w:r>
        <w:r>
          <w:rPr>
            <w:rStyle w:val="CharStyle22"/>
          </w:rPr>
          <w:tab/>
          <w:t>10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98"/>
          <w:tab w:val="right" w:pos="2238"/>
          <w:tab w:val="right" w:pos="3299"/>
          <w:tab w:val="left" w:pos="3504"/>
          <w:tab w:val="right" w:leader="dot" w:pos="9337"/>
        </w:tabs>
        <w:jc w:val="both"/>
      </w:pPr>
      <w:hyperlink w:anchor="bookmark112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>systemów</w:t>
        </w:r>
        <w:r>
          <w:rPr>
            <w:rStyle w:val="CharStyle22"/>
          </w:rPr>
          <w:tab/>
          <w:t xml:space="preserve">monitorowania </w:t>
        </w:r>
        <w:r>
          <w:rPr>
            <w:rStyle w:val="CharStyle22"/>
          </w:rPr>
          <w:tab/>
          <w:t>10</w:t>
        </w:r>
      </w:hyperlink>
    </w:p>
    <w:p w:rsidR="0037407D" w:rsidRDefault="00C55295">
      <w:pPr>
        <w:pStyle w:val="Style21"/>
        <w:numPr>
          <w:ilvl w:val="1"/>
          <w:numId w:val="1"/>
        </w:numPr>
        <w:tabs>
          <w:tab w:val="left" w:pos="898"/>
          <w:tab w:val="right" w:pos="2238"/>
          <w:tab w:val="right" w:pos="3299"/>
          <w:tab w:val="left" w:pos="3504"/>
          <w:tab w:val="center" w:pos="6125"/>
          <w:tab w:val="right" w:leader="dot" w:pos="9337"/>
        </w:tabs>
        <w:jc w:val="both"/>
      </w:pPr>
      <w:hyperlink w:anchor="bookmark121" w:tooltip="Current Document">
        <w:r>
          <w:rPr>
            <w:rStyle w:val="CharStyle22"/>
          </w:rPr>
          <w:t>Standardy</w:t>
        </w:r>
        <w:r>
          <w:rPr>
            <w:rStyle w:val="CharStyle22"/>
          </w:rPr>
          <w:tab/>
          <w:t>dla</w:t>
        </w:r>
        <w:r>
          <w:rPr>
            <w:rStyle w:val="CharStyle22"/>
          </w:rPr>
          <w:tab/>
          <w:t>systemów</w:t>
        </w:r>
        <w:r>
          <w:rPr>
            <w:rStyle w:val="CharStyle22"/>
          </w:rPr>
          <w:tab/>
          <w:t>zarządzania infrastrukturą</w:t>
        </w:r>
        <w:r>
          <w:rPr>
            <w:rStyle w:val="CharStyle22"/>
          </w:rPr>
          <w:tab/>
          <w:t xml:space="preserve">IT </w:t>
        </w:r>
        <w:r>
          <w:rPr>
            <w:rStyle w:val="CharStyle22"/>
          </w:rPr>
          <w:tab/>
        </w:r>
        <w:r>
          <w:rPr>
            <w:rStyle w:val="CharStyle22"/>
          </w:rPr>
          <w:t>11</w:t>
        </w:r>
      </w:hyperlink>
      <w:r>
        <w:fldChar w:fldCharType="end"/>
      </w:r>
    </w:p>
    <w:p w:rsidR="0037407D" w:rsidRDefault="00C55295">
      <w:pPr>
        <w:pStyle w:val="Style19"/>
        <w:numPr>
          <w:ilvl w:val="0"/>
          <w:numId w:val="2"/>
        </w:numPr>
        <w:tabs>
          <w:tab w:val="left" w:pos="533"/>
        </w:tabs>
        <w:spacing w:after="360" w:line="240" w:lineRule="auto"/>
        <w:rPr>
          <w:sz w:val="20"/>
          <w:szCs w:val="20"/>
        </w:rPr>
      </w:pPr>
      <w:bookmarkStart w:id="4" w:name="bookmark11"/>
      <w:r>
        <w:rPr>
          <w:rStyle w:val="CharStyle20"/>
          <w:b/>
          <w:bCs/>
          <w:smallCaps/>
          <w:color w:val="365F91"/>
          <w:sz w:val="20"/>
          <w:szCs w:val="20"/>
        </w:rPr>
        <w:t>Podsumowanie</w:t>
      </w:r>
      <w:bookmarkEnd w:id="4"/>
    </w:p>
    <w:p w:rsidR="0037407D" w:rsidRDefault="00C55295">
      <w:pPr>
        <w:pStyle w:val="Style2"/>
        <w:keepNext/>
        <w:keepLines/>
        <w:numPr>
          <w:ilvl w:val="1"/>
          <w:numId w:val="2"/>
        </w:numPr>
        <w:tabs>
          <w:tab w:val="left" w:pos="533"/>
        </w:tabs>
        <w:spacing w:after="260"/>
      </w:pPr>
      <w:bookmarkStart w:id="5" w:name="bookmark13"/>
      <w:bookmarkStart w:id="6" w:name="bookmark12"/>
      <w:r>
        <w:rPr>
          <w:rStyle w:val="CharStyle3"/>
          <w:b/>
          <w:bCs/>
        </w:rPr>
        <w:t>Cel i zakres</w:t>
      </w:r>
      <w:bookmarkEnd w:id="5"/>
      <w:bookmarkEnd w:id="6"/>
    </w:p>
    <w:p w:rsidR="0037407D" w:rsidRDefault="00C55295">
      <w:pPr>
        <w:pStyle w:val="Style19"/>
        <w:jc w:val="both"/>
      </w:pPr>
      <w:r>
        <w:rPr>
          <w:rStyle w:val="CharStyle20"/>
        </w:rPr>
        <w:t>Celem wprowadzenia standardu jest poprawa efektywności kosztowej infrastruktury ICT w GK PGE poprzez zwiększenie unifikacji, a także dalszej konsolidacji i centralizacji w zakresie rozwiązań infrastrukturalnych ICT.</w:t>
      </w:r>
    </w:p>
    <w:p w:rsidR="0037407D" w:rsidRDefault="00C55295">
      <w:pPr>
        <w:pStyle w:val="Style19"/>
        <w:jc w:val="both"/>
      </w:pPr>
      <w:r>
        <w:rPr>
          <w:rStyle w:val="CharStyle20"/>
        </w:rPr>
        <w:t>Standard</w:t>
      </w:r>
      <w:r>
        <w:rPr>
          <w:rStyle w:val="CharStyle20"/>
        </w:rPr>
        <w:t xml:space="preserve"> zawiera listę technologii, których stosowanie w poszczególnych obszarach wskazanych w pkt. 2 jest wymagane </w:t>
      </w:r>
      <w:r>
        <w:rPr>
          <w:rStyle w:val="CharStyle20"/>
        </w:rPr>
        <w:lastRenderedPageBreak/>
        <w:t>dla nowych inicjatyw rozwojowych ICT. Stopień powinności stosowania standardu nie jest definitywny. Odstępstwa od stosowania standardu są dopuszczal</w:t>
      </w:r>
      <w:r>
        <w:rPr>
          <w:rStyle w:val="CharStyle20"/>
        </w:rPr>
        <w:t>ne, ale każdy taki przypadek jest traktowany jako odstępstwo architektoniczne i musi być identyfikowane przez właściciela, zgłaszane do i akceptowane przez Głównego Architekta ICT.</w:t>
      </w:r>
    </w:p>
    <w:p w:rsidR="0037407D" w:rsidRDefault="00C55295">
      <w:pPr>
        <w:pStyle w:val="Style19"/>
        <w:jc w:val="both"/>
      </w:pPr>
      <w:r>
        <w:rPr>
          <w:rStyle w:val="CharStyle20"/>
        </w:rPr>
        <w:t xml:space="preserve">Standard jest wprowadzany na podstawie pkt. 6.1.4.5 </w:t>
      </w:r>
      <w:proofErr w:type="spellStart"/>
      <w:r>
        <w:rPr>
          <w:rStyle w:val="CharStyle20"/>
        </w:rPr>
        <w:t>ppkt</w:t>
      </w:r>
      <w:proofErr w:type="spellEnd"/>
      <w:r>
        <w:rPr>
          <w:rStyle w:val="CharStyle20"/>
        </w:rPr>
        <w:t xml:space="preserve">. </w:t>
      </w:r>
      <w:proofErr w:type="gramStart"/>
      <w:r>
        <w:rPr>
          <w:rStyle w:val="CharStyle20"/>
        </w:rPr>
        <w:t>b</w:t>
      </w:r>
      <w:proofErr w:type="gramEnd"/>
      <w:r>
        <w:rPr>
          <w:rStyle w:val="CharStyle20"/>
        </w:rPr>
        <w:t>) „Polityki orga</w:t>
      </w:r>
      <w:r>
        <w:rPr>
          <w:rStyle w:val="CharStyle20"/>
        </w:rPr>
        <w:t>nizacji Teleinformatyki w GK PGE” (REGL 00082/G).</w:t>
      </w:r>
    </w:p>
    <w:p w:rsidR="0037407D" w:rsidRDefault="00C55295">
      <w:pPr>
        <w:pStyle w:val="Style19"/>
        <w:jc w:val="both"/>
      </w:pPr>
      <w:r>
        <w:rPr>
          <w:rStyle w:val="CharStyle20"/>
        </w:rPr>
        <w:t>Postanowienia niniejszego standardu obowiązują w całym obszarze ICT, w tym dotyczą infrastruktury ICT pod systemy OT. Kryteria klasyfikacji do obszaru ICT są zdefiniowane w punkcie 2 Wytycznych CIO-WYT- 202</w:t>
      </w:r>
      <w:r>
        <w:rPr>
          <w:rStyle w:val="CharStyle20"/>
        </w:rPr>
        <w:t>1-007 „Zasady klasyfikacji inicjatyw do obszarów ICT/OT”.</w:t>
      </w:r>
    </w:p>
    <w:p w:rsidR="0037407D" w:rsidRDefault="00C55295">
      <w:pPr>
        <w:pStyle w:val="Style19"/>
        <w:jc w:val="both"/>
      </w:pPr>
      <w:r>
        <w:rPr>
          <w:rStyle w:val="CharStyle20"/>
        </w:rPr>
        <w:t>Projekty ICT, inicjatywy ICT oraz umowy na usługi ICT i dostawy ICT powinny być sukcesywnie konsolidowane w ramach danego producenta lub podobszaru standardu. W celu zachowania zgodności z Pryncypia</w:t>
      </w:r>
      <w:r>
        <w:rPr>
          <w:rStyle w:val="CharStyle20"/>
        </w:rPr>
        <w:t>mi Strategicznymi Obszaru ICT (CIO-STD-2020-0001), w szczególności: „Centralizacja i standaryzacja infrastruktury sprzętowej ICT (INF</w:t>
      </w:r>
      <w:proofErr w:type="gramStart"/>
      <w:r>
        <w:rPr>
          <w:rStyle w:val="CharStyle20"/>
        </w:rPr>
        <w:t>01)”, „Standaryzacja</w:t>
      </w:r>
      <w:proofErr w:type="gramEnd"/>
      <w:r>
        <w:rPr>
          <w:rStyle w:val="CharStyle20"/>
        </w:rPr>
        <w:t xml:space="preserve"> rozwiązań ICT (APL01)” oraz „Maksymalizacja wartości dla GK PGE (BIZ01)” konsolidacja powinna być wyko</w:t>
      </w:r>
      <w:r>
        <w:rPr>
          <w:rStyle w:val="CharStyle20"/>
        </w:rPr>
        <w:t>nywana docelowo przez CUW ICT dla całej GK PGE. W stanie przejściowym dopuszcza się konsolidację przez Spółki dla całego obszaru działalności Spółki (włączając w to oddziały Spółki).</w:t>
      </w:r>
    </w:p>
    <w:p w:rsidR="0037407D" w:rsidRDefault="00C55295">
      <w:pPr>
        <w:pStyle w:val="Style19"/>
        <w:jc w:val="both"/>
      </w:pPr>
      <w:r>
        <w:rPr>
          <w:rStyle w:val="CharStyle20"/>
        </w:rPr>
        <w:t>W nawiązaniu do pryncypium BIZ03: „Model usługowy jako podstawa współprac</w:t>
      </w:r>
      <w:r>
        <w:rPr>
          <w:rStyle w:val="CharStyle20"/>
        </w:rPr>
        <w:t>y między Spółkami GK PGE a Funkcją ICT” docelowo każdy element obszaru ICT powinien być świadczony w ramach usługi świadczonej przez CUW ICT na rzecz Spółki. Przy obiektywnych przesłankach dopuszcza się również model świadczenia takiej usługi przez CUW ICT</w:t>
      </w:r>
      <w:r>
        <w:rPr>
          <w:rStyle w:val="CharStyle20"/>
        </w:rPr>
        <w:t xml:space="preserve"> obejmujący wyłącznie utrzymanie (usługi własne PGE Systemy + usługi zewnętrzne).</w:t>
      </w:r>
    </w:p>
    <w:p w:rsidR="0037407D" w:rsidRDefault="00C55295">
      <w:pPr>
        <w:pStyle w:val="Style19"/>
        <w:jc w:val="both"/>
      </w:pPr>
      <w:r>
        <w:rPr>
          <w:rStyle w:val="CharStyle20"/>
        </w:rPr>
        <w:t xml:space="preserve">Projekty ICT oraz inicjatywy ICT kierowane do CIO muszą uwzględniać wyżej wymienione standardy i wytyczne, zgodnie z pkt. 6.1.4.5 </w:t>
      </w:r>
      <w:proofErr w:type="spellStart"/>
      <w:r>
        <w:rPr>
          <w:rStyle w:val="CharStyle20"/>
        </w:rPr>
        <w:t>ppkt</w:t>
      </w:r>
      <w:proofErr w:type="spellEnd"/>
      <w:r>
        <w:rPr>
          <w:rStyle w:val="CharStyle20"/>
        </w:rPr>
        <w:t xml:space="preserve">. </w:t>
      </w:r>
      <w:proofErr w:type="gramStart"/>
      <w:r>
        <w:rPr>
          <w:rStyle w:val="CharStyle20"/>
        </w:rPr>
        <w:t>f</w:t>
      </w:r>
      <w:proofErr w:type="gramEnd"/>
      <w:r>
        <w:rPr>
          <w:rStyle w:val="CharStyle20"/>
        </w:rPr>
        <w:t>) „Polityki organizacji Teleinformaty</w:t>
      </w:r>
      <w:r>
        <w:rPr>
          <w:rStyle w:val="CharStyle20"/>
        </w:rPr>
        <w:t>ki w GK PGE” (REGL 00082/G).</w:t>
      </w:r>
    </w:p>
    <w:p w:rsidR="0037407D" w:rsidRDefault="00C55295">
      <w:pPr>
        <w:pStyle w:val="Style19"/>
      </w:pPr>
      <w:r>
        <w:rPr>
          <w:rStyle w:val="CharStyle20"/>
        </w:rPr>
        <w:t>Wartości parametrów w tabelach należy traktować jako „nie gorsze niż”.</w:t>
      </w:r>
    </w:p>
    <w:p w:rsidR="0037407D" w:rsidRDefault="00C55295">
      <w:pPr>
        <w:pStyle w:val="Style2"/>
        <w:keepNext/>
        <w:keepLines/>
        <w:numPr>
          <w:ilvl w:val="1"/>
          <w:numId w:val="2"/>
        </w:numPr>
        <w:tabs>
          <w:tab w:val="left" w:pos="533"/>
        </w:tabs>
        <w:spacing w:after="260"/>
      </w:pPr>
      <w:bookmarkStart w:id="7" w:name="bookmark16"/>
      <w:bookmarkStart w:id="8" w:name="bookmark15"/>
      <w:r>
        <w:rPr>
          <w:rStyle w:val="CharStyle3"/>
          <w:b/>
          <w:bCs/>
        </w:rPr>
        <w:t>Właściciel</w:t>
      </w:r>
      <w:bookmarkEnd w:id="7"/>
      <w:bookmarkEnd w:id="8"/>
    </w:p>
    <w:p w:rsidR="0037407D" w:rsidRDefault="00C55295">
      <w:pPr>
        <w:pStyle w:val="Style19"/>
      </w:pPr>
      <w:r>
        <w:rPr>
          <w:rStyle w:val="CharStyle20"/>
        </w:rPr>
        <w:t>Właścicielem dokumentu jest CIO.</w:t>
      </w:r>
    </w:p>
    <w:p w:rsidR="0037407D" w:rsidRDefault="00C55295">
      <w:pPr>
        <w:pStyle w:val="Style2"/>
        <w:keepNext/>
        <w:keepLines/>
        <w:numPr>
          <w:ilvl w:val="1"/>
          <w:numId w:val="2"/>
        </w:numPr>
        <w:tabs>
          <w:tab w:val="left" w:pos="533"/>
        </w:tabs>
        <w:spacing w:after="260"/>
      </w:pPr>
      <w:bookmarkStart w:id="9" w:name="bookmark19"/>
      <w:bookmarkStart w:id="10" w:name="bookmark18"/>
      <w:r>
        <w:rPr>
          <w:rStyle w:val="CharStyle3"/>
          <w:b/>
          <w:bCs/>
        </w:rPr>
        <w:t>Przeglądy i zmiany</w:t>
      </w:r>
      <w:bookmarkEnd w:id="9"/>
      <w:bookmarkEnd w:id="10"/>
    </w:p>
    <w:p w:rsidR="0037407D" w:rsidRDefault="00C55295">
      <w:pPr>
        <w:pStyle w:val="Style19"/>
      </w:pPr>
      <w:r>
        <w:rPr>
          <w:rStyle w:val="CharStyle20"/>
        </w:rPr>
        <w:t>Dokument podlega przeglądom cyklicznym co najmniej raz w roku.</w:t>
      </w:r>
      <w:r>
        <w:br w:type="page"/>
      </w:r>
    </w:p>
    <w:p w:rsidR="0037407D" w:rsidRDefault="00C55295">
      <w:pPr>
        <w:pStyle w:val="Style26"/>
        <w:keepNext/>
        <w:keepLines/>
        <w:numPr>
          <w:ilvl w:val="0"/>
          <w:numId w:val="2"/>
        </w:numPr>
        <w:tabs>
          <w:tab w:val="left" w:pos="487"/>
        </w:tabs>
        <w:rPr>
          <w:sz w:val="24"/>
          <w:szCs w:val="24"/>
        </w:rPr>
      </w:pPr>
      <w:bookmarkStart w:id="11" w:name="bookmark22"/>
      <w:bookmarkStart w:id="12" w:name="bookmark21"/>
      <w:r>
        <w:rPr>
          <w:rStyle w:val="CharStyle27"/>
          <w:b/>
          <w:bCs/>
          <w:sz w:val="24"/>
          <w:szCs w:val="24"/>
        </w:rPr>
        <w:lastRenderedPageBreak/>
        <w:t>W</w:t>
      </w:r>
      <w:r>
        <w:rPr>
          <w:rStyle w:val="CharStyle27"/>
          <w:b/>
          <w:bCs/>
        </w:rPr>
        <w:t xml:space="preserve">YKAZ STANDARDÓW </w:t>
      </w:r>
      <w:r>
        <w:rPr>
          <w:rStyle w:val="CharStyle27"/>
          <w:b/>
          <w:bCs/>
          <w:sz w:val="24"/>
          <w:szCs w:val="24"/>
        </w:rPr>
        <w:t>ICT</w:t>
      </w:r>
      <w:bookmarkEnd w:id="11"/>
      <w:bookmarkEnd w:id="12"/>
    </w:p>
    <w:p w:rsidR="0037407D" w:rsidRDefault="00C55295">
      <w:pPr>
        <w:pStyle w:val="Style2"/>
        <w:keepNext/>
        <w:keepLines/>
        <w:numPr>
          <w:ilvl w:val="1"/>
          <w:numId w:val="2"/>
        </w:numPr>
        <w:tabs>
          <w:tab w:val="left" w:pos="487"/>
        </w:tabs>
      </w:pPr>
      <w:bookmarkStart w:id="13" w:name="bookmark25"/>
      <w:bookmarkStart w:id="14" w:name="bookmark24"/>
      <w:r>
        <w:rPr>
          <w:rStyle w:val="CharStyle3"/>
          <w:b/>
          <w:bCs/>
        </w:rPr>
        <w:t>Standard</w:t>
      </w:r>
      <w:r>
        <w:rPr>
          <w:rStyle w:val="CharStyle3"/>
          <w:b/>
          <w:bCs/>
        </w:rPr>
        <w:t>y dla infrastruktury pasywnej</w:t>
      </w:r>
      <w:bookmarkEnd w:id="13"/>
      <w:bookmarkEnd w:id="14"/>
    </w:p>
    <w:p w:rsidR="0037407D" w:rsidRDefault="00C55295">
      <w:pPr>
        <w:pStyle w:val="Style29"/>
        <w:keepNext/>
        <w:keepLines/>
        <w:numPr>
          <w:ilvl w:val="2"/>
          <w:numId w:val="2"/>
        </w:numPr>
        <w:tabs>
          <w:tab w:val="left" w:pos="715"/>
        </w:tabs>
        <w:spacing w:after="120"/>
      </w:pPr>
      <w:bookmarkStart w:id="15" w:name="bookmark27"/>
      <w:r>
        <w:rPr>
          <w:rStyle w:val="CharStyle30"/>
          <w:b/>
          <w:bCs/>
          <w:i/>
          <w:iCs/>
        </w:rPr>
        <w:t>Infrastruktura ICT pod systemy ICT</w:t>
      </w:r>
      <w:bookmarkEnd w:id="15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1"/>
        <w:gridCol w:w="1848"/>
        <w:gridCol w:w="994"/>
        <w:gridCol w:w="1291"/>
        <w:gridCol w:w="2002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Parametr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Wartość parametru, Opis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  <w:b/>
                <w:bCs/>
              </w:rPr>
              <w:t>Producent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Klasa okablowania miedzianego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Minimum 6A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OS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okablowania miedzianego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U/UTP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OS </w:t>
            </w:r>
            <w:r>
              <w:rPr>
                <w:rStyle w:val="CharStyle17"/>
              </w:rPr>
              <w:t>biura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562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okablowania miedzianego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F/UTP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OS miejsca silnych zakłóceń EMC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okablowania miedzianego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Twinax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DAC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Transmisja łączy abonenckich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gramStart"/>
            <w:r>
              <w:rPr>
                <w:rStyle w:val="CharStyle17"/>
              </w:rPr>
              <w:t>min</w:t>
            </w:r>
            <w:proofErr w:type="gramEnd"/>
            <w:r>
              <w:rPr>
                <w:rStyle w:val="CharStyle17"/>
              </w:rPr>
              <w:t>. 1Gbps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LAN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562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Transmisja w połączeniach szkieletowych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gramStart"/>
            <w:r>
              <w:rPr>
                <w:rStyle w:val="CharStyle17"/>
              </w:rPr>
              <w:t>min</w:t>
            </w:r>
            <w:proofErr w:type="gramEnd"/>
            <w:r>
              <w:rPr>
                <w:rStyle w:val="CharStyle17"/>
              </w:rPr>
              <w:t xml:space="preserve">. n x </w:t>
            </w:r>
            <w:r>
              <w:rPr>
                <w:rStyle w:val="CharStyle17"/>
              </w:rPr>
              <w:t>1Gbps dla LPD - min n x 10Gbps dla GPD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CPD, WAN, LAN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4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Szafy dystrybucyjna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42U 750x800 mm okablowanie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42U 750x1000 mm okablowanie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APC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Monitoring Szaf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37407D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CPD, WAN, LAN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APC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11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Szafa serwerowa/urządzenia aktywne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Min. </w:t>
            </w:r>
            <w:r>
              <w:rPr>
                <w:rStyle w:val="CharStyle17"/>
              </w:rPr>
              <w:t>42U 600x1000 mm lub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42U 750x1000 mm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APC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4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Wymiar szafy dystrybucyjnej &gt;36U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750x800 mm pasywne.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750x1000 mm aktywne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OS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Wymiar szafy dystrybucyjnej &lt;36U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600x600 mm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OS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listwy zasilającej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Inteligentne listwy PDU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CPD,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APC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listwy zasilające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Inteligentne listwy PDU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GPD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Zabezpieczenie listwy zasilające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Filtry przeciw zakłóceniowe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LPD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Połączenia między- szafowe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Kabel typu MPO + kaseta 6xLC Duplex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zakończeń linii światłowodowych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LC/LC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Okablowanie światłowodowe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włókien światłowodowych MM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OM3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OS połączenia szkieletowe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włókien światłowodowych SM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OS2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OS połączenia szkieletowe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</w:tbl>
    <w:p w:rsidR="0037407D" w:rsidRDefault="0037407D">
      <w:pPr>
        <w:spacing w:after="119" w:line="1" w:lineRule="exact"/>
      </w:pPr>
    </w:p>
    <w:p w:rsidR="0037407D" w:rsidRDefault="00C55295">
      <w:pPr>
        <w:pStyle w:val="Style29"/>
        <w:keepNext/>
        <w:keepLines/>
        <w:numPr>
          <w:ilvl w:val="2"/>
          <w:numId w:val="2"/>
        </w:numPr>
        <w:tabs>
          <w:tab w:val="left" w:pos="715"/>
        </w:tabs>
        <w:spacing w:after="260"/>
      </w:pPr>
      <w:bookmarkStart w:id="16" w:name="bookmark29"/>
      <w:r>
        <w:rPr>
          <w:rStyle w:val="CharStyle30"/>
          <w:b/>
          <w:bCs/>
          <w:i/>
          <w:iCs/>
        </w:rPr>
        <w:t>Infrastruktura ICT pod systemy OT</w:t>
      </w:r>
      <w:bookmarkEnd w:id="16"/>
    </w:p>
    <w:p w:rsidR="0037407D" w:rsidRDefault="00C55295">
      <w:pPr>
        <w:pStyle w:val="Style32"/>
        <w:keepNext/>
        <w:keepLines/>
        <w:spacing w:after="260"/>
      </w:pPr>
      <w:bookmarkStart w:id="17" w:name="bookmark31"/>
      <w:r>
        <w:rPr>
          <w:rStyle w:val="CharStyle33"/>
        </w:rPr>
        <w:t>Dodatkowo dopuszcza się jako standardy dla infrastruktury ICT pod systemy OT:</w:t>
      </w:r>
      <w:bookmarkEnd w:id="17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1"/>
        <w:gridCol w:w="1848"/>
        <w:gridCol w:w="994"/>
        <w:gridCol w:w="1291"/>
        <w:gridCol w:w="2002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Parametr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Wartość parametru, Opis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  <w:b/>
                <w:bCs/>
              </w:rPr>
              <w:t>Producent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566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okablowania miedzianego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U/FTP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OS miejsca</w:t>
            </w:r>
            <w:r>
              <w:rPr>
                <w:rStyle w:val="CharStyle17"/>
              </w:rPr>
              <w:t xml:space="preserve"> silnych zakłóceń EMC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</w:tbl>
    <w:p w:rsidR="0037407D" w:rsidRDefault="00C55295">
      <w:pPr>
        <w:spacing w:line="1" w:lineRule="exact"/>
      </w:pPr>
      <w:r>
        <w:br w:type="page"/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1"/>
        <w:gridCol w:w="1848"/>
        <w:gridCol w:w="994"/>
        <w:gridCol w:w="1291"/>
        <w:gridCol w:w="2002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lastRenderedPageBreak/>
              <w:t>Parametr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Wartość parametru, Opis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  <w:b/>
                <w:bCs/>
              </w:rPr>
              <w:t>Producent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4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Szafy dystrybucyjna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42U 750x800 mm okablowanie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42U 750x1000 mm okablowanie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562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Szafa serwerowa/urządzenia aktywne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Min. 42U 600x1200, 42U 800x1200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listwy zasilającej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Inteligentne listwy PDU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CPD,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Typ zakończeń linii światłowodowych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LC/SC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Okablowanie światłowodowe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Wielu</w:t>
            </w:r>
          </w:p>
        </w:tc>
      </w:tr>
    </w:tbl>
    <w:p w:rsidR="0037407D" w:rsidRDefault="0037407D">
      <w:pPr>
        <w:spacing w:after="23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2"/>
        </w:numPr>
        <w:tabs>
          <w:tab w:val="left" w:pos="658"/>
        </w:tabs>
      </w:pPr>
      <w:bookmarkStart w:id="18" w:name="bookmark34"/>
      <w:bookmarkStart w:id="19" w:name="bookmark33"/>
      <w:r>
        <w:rPr>
          <w:rStyle w:val="CharStyle3"/>
          <w:b/>
          <w:bCs/>
        </w:rPr>
        <w:t>Standardy dla serwerów fizycznych</w:t>
      </w:r>
      <w:bookmarkEnd w:id="18"/>
      <w:bookmarkEnd w:id="19"/>
    </w:p>
    <w:p w:rsidR="0037407D" w:rsidRDefault="00C55295">
      <w:pPr>
        <w:pStyle w:val="Style29"/>
        <w:keepNext/>
        <w:keepLines/>
        <w:numPr>
          <w:ilvl w:val="2"/>
          <w:numId w:val="2"/>
        </w:numPr>
        <w:tabs>
          <w:tab w:val="left" w:pos="670"/>
        </w:tabs>
        <w:spacing w:after="120"/>
      </w:pPr>
      <w:bookmarkStart w:id="20" w:name="bookmark36"/>
      <w:r>
        <w:rPr>
          <w:rStyle w:val="CharStyle30"/>
          <w:b/>
          <w:bCs/>
          <w:i/>
          <w:iCs/>
        </w:rPr>
        <w:t xml:space="preserve">Infrastruktura ICT </w:t>
      </w:r>
      <w:r>
        <w:rPr>
          <w:rStyle w:val="CharStyle30"/>
          <w:b/>
          <w:bCs/>
          <w:i/>
          <w:iCs/>
        </w:rPr>
        <w:t>pod systemy ICT</w:t>
      </w:r>
      <w:bookmarkEnd w:id="20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955"/>
        <w:gridCol w:w="1306"/>
        <w:gridCol w:w="3758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Producent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Platforma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HP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X86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Serwery pod wirtualizację, bazodanowe i aplikacyjne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Lenovo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X86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Serwery pod wirtualizację, bazodanowe i aplikacyjne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Dell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X86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Serwery pod </w:t>
            </w:r>
            <w:r>
              <w:rPr>
                <w:rStyle w:val="CharStyle17"/>
              </w:rPr>
              <w:t>wirtualizację, bazodanowe i aplikacyjne</w:t>
            </w:r>
          </w:p>
        </w:tc>
      </w:tr>
    </w:tbl>
    <w:p w:rsidR="0037407D" w:rsidRDefault="0037407D">
      <w:pPr>
        <w:spacing w:after="119" w:line="1" w:lineRule="exact"/>
      </w:pPr>
    </w:p>
    <w:p w:rsidR="0037407D" w:rsidRDefault="00C55295">
      <w:pPr>
        <w:pStyle w:val="Style29"/>
        <w:keepNext/>
        <w:keepLines/>
        <w:numPr>
          <w:ilvl w:val="2"/>
          <w:numId w:val="2"/>
        </w:numPr>
        <w:tabs>
          <w:tab w:val="left" w:pos="680"/>
        </w:tabs>
        <w:spacing w:after="240"/>
      </w:pPr>
      <w:bookmarkStart w:id="21" w:name="bookmark38"/>
      <w:r>
        <w:rPr>
          <w:rStyle w:val="CharStyle30"/>
          <w:b/>
          <w:bCs/>
          <w:i/>
          <w:iCs/>
        </w:rPr>
        <w:t>Infrastruktura ICT pod systemy OT</w:t>
      </w:r>
      <w:bookmarkEnd w:id="21"/>
    </w:p>
    <w:p w:rsidR="0037407D" w:rsidRDefault="00C55295">
      <w:pPr>
        <w:pStyle w:val="Style32"/>
        <w:keepNext/>
        <w:keepLines/>
      </w:pPr>
      <w:bookmarkStart w:id="22" w:name="bookmark40"/>
      <w:r>
        <w:rPr>
          <w:rStyle w:val="CharStyle33"/>
        </w:rPr>
        <w:t>Dodatkowo dopuszcza się jako standardy dla infrastruktury ICT pod systemy OT:</w:t>
      </w:r>
      <w:bookmarkEnd w:id="22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955"/>
        <w:gridCol w:w="1306"/>
        <w:gridCol w:w="3758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Producent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Platforma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Fujitsu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X86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Serwery pod </w:t>
            </w:r>
            <w:r>
              <w:rPr>
                <w:rStyle w:val="CharStyle17"/>
              </w:rPr>
              <w:t>wirtualizację, bazodanowe i aplikacyjne</w:t>
            </w:r>
          </w:p>
        </w:tc>
      </w:tr>
    </w:tbl>
    <w:p w:rsidR="0037407D" w:rsidRDefault="0037407D">
      <w:pPr>
        <w:spacing w:after="23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2"/>
        </w:numPr>
        <w:tabs>
          <w:tab w:val="left" w:pos="658"/>
        </w:tabs>
      </w:pPr>
      <w:bookmarkStart w:id="23" w:name="bookmark43"/>
      <w:bookmarkStart w:id="24" w:name="bookmark42"/>
      <w:r>
        <w:rPr>
          <w:rStyle w:val="CharStyle3"/>
          <w:b/>
          <w:bCs/>
        </w:rPr>
        <w:t>Standardy dla macierzy dyskowych</w:t>
      </w:r>
      <w:bookmarkEnd w:id="23"/>
      <w:bookmarkEnd w:id="24"/>
    </w:p>
    <w:p w:rsidR="0037407D" w:rsidRDefault="00C55295">
      <w:pPr>
        <w:pStyle w:val="Style29"/>
        <w:keepNext/>
        <w:keepLines/>
        <w:numPr>
          <w:ilvl w:val="2"/>
          <w:numId w:val="2"/>
        </w:numPr>
        <w:tabs>
          <w:tab w:val="left" w:pos="670"/>
        </w:tabs>
        <w:spacing w:after="120"/>
      </w:pPr>
      <w:bookmarkStart w:id="25" w:name="bookmark45"/>
      <w:r>
        <w:rPr>
          <w:rStyle w:val="CharStyle30"/>
          <w:b/>
          <w:bCs/>
          <w:i/>
          <w:iCs/>
        </w:rPr>
        <w:t>Infrastruktura ICT pod systemy ICT</w:t>
      </w:r>
      <w:bookmarkEnd w:id="25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5"/>
        <w:gridCol w:w="3019"/>
        <w:gridCol w:w="3821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Producent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Model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IBM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V5030, V7000, DS8000, </w:t>
            </w:r>
            <w:proofErr w:type="spellStart"/>
            <w:r>
              <w:rPr>
                <w:rStyle w:val="CharStyle17"/>
              </w:rPr>
              <w:t>FlashSystem</w:t>
            </w:r>
            <w:proofErr w:type="spellEnd"/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right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Dell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VMAX, </w:t>
            </w:r>
            <w:proofErr w:type="spellStart"/>
            <w:r>
              <w:rPr>
                <w:rStyle w:val="CharStyle17"/>
              </w:rPr>
              <w:t>PowerMax</w:t>
            </w:r>
            <w:proofErr w:type="spellEnd"/>
            <w:r>
              <w:rPr>
                <w:rStyle w:val="CharStyle17"/>
              </w:rPr>
              <w:t xml:space="preserve">, </w:t>
            </w:r>
            <w:proofErr w:type="spellStart"/>
            <w:r>
              <w:rPr>
                <w:rStyle w:val="CharStyle17"/>
              </w:rPr>
              <w:t>PowerStore</w:t>
            </w:r>
            <w:proofErr w:type="spellEnd"/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HPE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Primera</w:t>
            </w:r>
            <w:proofErr w:type="spellEnd"/>
            <w:r>
              <w:rPr>
                <w:rStyle w:val="CharStyle17"/>
              </w:rPr>
              <w:t xml:space="preserve">, </w:t>
            </w:r>
            <w:proofErr w:type="spellStart"/>
            <w:r>
              <w:rPr>
                <w:rStyle w:val="CharStyle17"/>
              </w:rPr>
              <w:t>Alletra</w:t>
            </w:r>
            <w:proofErr w:type="spellEnd"/>
            <w:r>
              <w:rPr>
                <w:rStyle w:val="CharStyle17"/>
              </w:rPr>
              <w:t>, MSA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right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Hitachi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VSP (G i F)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right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Pure</w:t>
            </w:r>
            <w:proofErr w:type="spellEnd"/>
            <w:r>
              <w:rPr>
                <w:rStyle w:val="CharStyle17"/>
              </w:rPr>
              <w:t xml:space="preserve"> Storage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FlashArray</w:t>
            </w:r>
            <w:proofErr w:type="spellEnd"/>
            <w:r>
              <w:rPr>
                <w:rStyle w:val="CharStyle17"/>
              </w:rPr>
              <w:t xml:space="preserve">, </w:t>
            </w:r>
            <w:proofErr w:type="spellStart"/>
            <w:r>
              <w:rPr>
                <w:rStyle w:val="CharStyle17"/>
              </w:rPr>
              <w:t>FlashBlade</w:t>
            </w:r>
            <w:proofErr w:type="spellEnd"/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119" w:line="1" w:lineRule="exact"/>
      </w:pPr>
    </w:p>
    <w:p w:rsidR="0037407D" w:rsidRDefault="00C55295">
      <w:pPr>
        <w:pStyle w:val="Style29"/>
        <w:keepNext/>
        <w:keepLines/>
        <w:numPr>
          <w:ilvl w:val="2"/>
          <w:numId w:val="2"/>
        </w:numPr>
        <w:tabs>
          <w:tab w:val="left" w:pos="680"/>
        </w:tabs>
        <w:spacing w:after="240"/>
      </w:pPr>
      <w:bookmarkStart w:id="26" w:name="bookmark47"/>
      <w:r>
        <w:rPr>
          <w:rStyle w:val="CharStyle30"/>
          <w:b/>
          <w:bCs/>
          <w:i/>
          <w:iCs/>
        </w:rPr>
        <w:t>Infrastruktura ICT pod systemy OT</w:t>
      </w:r>
      <w:bookmarkEnd w:id="26"/>
    </w:p>
    <w:p w:rsidR="0037407D" w:rsidRDefault="00C55295">
      <w:pPr>
        <w:pStyle w:val="Style32"/>
        <w:keepNext/>
        <w:keepLines/>
      </w:pPr>
      <w:bookmarkStart w:id="27" w:name="bookmark49"/>
      <w:r>
        <w:rPr>
          <w:rStyle w:val="CharStyle33"/>
        </w:rPr>
        <w:t>Dodatkowo dopuszcza się jako standardy dla infrastruktury ICT pod systemy OT:</w:t>
      </w:r>
      <w:bookmarkEnd w:id="27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5"/>
        <w:gridCol w:w="3019"/>
        <w:gridCol w:w="3821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right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Producent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Model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Fujitsu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ETERNUS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59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2"/>
        </w:numPr>
        <w:tabs>
          <w:tab w:val="left" w:pos="658"/>
        </w:tabs>
      </w:pPr>
      <w:bookmarkStart w:id="28" w:name="bookmark52"/>
      <w:bookmarkStart w:id="29" w:name="bookmark51"/>
      <w:r>
        <w:rPr>
          <w:rStyle w:val="CharStyle3"/>
          <w:b/>
          <w:bCs/>
        </w:rPr>
        <w:t>Standardy dla specjalizowanych urządzeń składowania kopii bezpieczeństwa</w:t>
      </w:r>
      <w:bookmarkEnd w:id="28"/>
      <w:bookmarkEnd w:id="29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5"/>
        <w:gridCol w:w="4670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Producent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right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HPE </w:t>
            </w:r>
            <w:proofErr w:type="spellStart"/>
            <w:r>
              <w:rPr>
                <w:rStyle w:val="CharStyle17"/>
              </w:rPr>
              <w:t>Tape</w:t>
            </w:r>
            <w:proofErr w:type="spellEnd"/>
            <w:r>
              <w:rPr>
                <w:rStyle w:val="CharStyle17"/>
              </w:rPr>
              <w:t xml:space="preserve"> Library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IBM </w:t>
            </w:r>
            <w:proofErr w:type="spellStart"/>
            <w:r>
              <w:rPr>
                <w:rStyle w:val="CharStyle17"/>
              </w:rPr>
              <w:t>Tape</w:t>
            </w:r>
            <w:proofErr w:type="spellEnd"/>
            <w:r>
              <w:rPr>
                <w:rStyle w:val="CharStyle17"/>
              </w:rPr>
              <w:t xml:space="preserve"> Library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Dell Data </w:t>
            </w:r>
            <w:proofErr w:type="spellStart"/>
            <w:r>
              <w:rPr>
                <w:rStyle w:val="CharStyle17"/>
              </w:rPr>
              <w:t>Domain</w:t>
            </w:r>
            <w:proofErr w:type="spellEnd"/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C55295">
      <w:pPr>
        <w:spacing w:line="1" w:lineRule="exact"/>
        <w:rPr>
          <w:sz w:val="2"/>
          <w:szCs w:val="2"/>
        </w:rPr>
      </w:pPr>
      <w:r>
        <w:br w:type="page"/>
      </w:r>
    </w:p>
    <w:p w:rsidR="0037407D" w:rsidRDefault="00C55295">
      <w:pPr>
        <w:pStyle w:val="Style2"/>
        <w:keepNext/>
        <w:keepLines/>
        <w:numPr>
          <w:ilvl w:val="1"/>
          <w:numId w:val="2"/>
        </w:numPr>
        <w:tabs>
          <w:tab w:val="left" w:pos="581"/>
        </w:tabs>
      </w:pPr>
      <w:bookmarkStart w:id="30" w:name="bookmark55"/>
      <w:bookmarkStart w:id="31" w:name="bookmark54"/>
      <w:r>
        <w:rPr>
          <w:rStyle w:val="CharStyle3"/>
          <w:b/>
          <w:bCs/>
        </w:rPr>
        <w:lastRenderedPageBreak/>
        <w:t>Standardy dla urządzeń sieci SAN</w:t>
      </w:r>
      <w:bookmarkEnd w:id="30"/>
      <w:bookmarkEnd w:id="31"/>
    </w:p>
    <w:p w:rsidR="0037407D" w:rsidRDefault="00C55295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76200" distB="5715" distL="0" distR="0" simplePos="0" relativeHeight="125829378" behindDoc="0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76200</wp:posOffset>
                </wp:positionV>
                <wp:extent cx="222250" cy="173990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407D" w:rsidRDefault="00C55295">
                            <w:pPr>
                              <w:pStyle w:val="Style2"/>
                              <w:keepNext/>
                              <w:keepLines/>
                              <w:spacing w:after="0"/>
                            </w:pPr>
                            <w:bookmarkStart w:id="32" w:name="bookmark1"/>
                            <w:bookmarkStart w:id="33" w:name="bookmark0"/>
                            <w:r>
                              <w:rPr>
                                <w:rStyle w:val="CharStyle3"/>
                                <w:b/>
                                <w:bCs/>
                              </w:rPr>
                              <w:t>2.6</w:t>
                            </w:r>
                            <w:bookmarkEnd w:id="32"/>
                            <w:bookmarkEnd w:id="33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71.900000000000006pt;margin-top:6.pt;width:17.5pt;height:13.700000000000001pt;z-index:-125829375;mso-wrap-distance-left:0;mso-wrap-distance-top:6.pt;mso-wrap-distance-right:0;mso-wrap-distance-bottom:0.45000000000000001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bookmarkStart w:id="0" w:name="bookmark0"/>
                      <w:bookmarkStart w:id="1" w:name="bookmark1"/>
                      <w:r>
                        <w:rPr>
                          <w:rStyle w:val="CharStyle3"/>
                          <w:b/>
                          <w:bCs/>
                        </w:rPr>
                        <w:t>2.6</w:t>
                      </w:r>
                      <w:bookmarkEnd w:id="1"/>
                      <w:bookmarkEnd w:id="0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6200" distB="0" distL="0" distR="0" simplePos="0" relativeHeight="125829380" behindDoc="0" locked="0" layoutInCell="1" allowOverlap="1">
                <wp:simplePos x="0" y="0"/>
                <wp:positionH relativeFrom="page">
                  <wp:posOffset>1282065</wp:posOffset>
                </wp:positionH>
                <wp:positionV relativeFrom="paragraph">
                  <wp:posOffset>76200</wp:posOffset>
                </wp:positionV>
                <wp:extent cx="1944370" cy="179705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370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407D" w:rsidRDefault="00C55295">
                            <w:pPr>
                              <w:pStyle w:val="Style2"/>
                              <w:keepNext/>
                              <w:keepLines/>
                              <w:spacing w:after="0"/>
                            </w:pPr>
                            <w:bookmarkStart w:id="34" w:name="bookmark3"/>
                            <w:r>
                              <w:rPr>
                                <w:rStyle w:val="CharStyle3"/>
                                <w:b/>
                                <w:bCs/>
                              </w:rPr>
                              <w:t xml:space="preserve">Standardy </w:t>
                            </w:r>
                            <w:r>
                              <w:rPr>
                                <w:rStyle w:val="CharStyle3"/>
                                <w:b/>
                                <w:bCs/>
                              </w:rPr>
                              <w:t>dla urządzeń sieci</w:t>
                            </w:r>
                            <w:bookmarkEnd w:id="34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00.95pt;margin-top:6.pt;width:153.09999999999999pt;height:14.15pt;z-index:-125829373;mso-wrap-distance-left:0;mso-wrap-distance-top:6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bookmarkStart w:id="3" w:name="bookmark3"/>
                      <w:r>
                        <w:rPr>
                          <w:rStyle w:val="CharStyle3"/>
                          <w:b/>
                          <w:bCs/>
                        </w:rPr>
                        <w:t>Standardy dla urządzeń sieci</w:t>
                      </w:r>
                      <w:bookmarkEnd w:id="3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103505" distB="48895" distL="0" distR="0" simplePos="0" relativeHeight="125829382" behindDoc="0" locked="0" layoutInCell="1" allowOverlap="1">
            <wp:simplePos x="0" y="0"/>
            <wp:positionH relativeFrom="page">
              <wp:posOffset>3637915</wp:posOffset>
            </wp:positionH>
            <wp:positionV relativeFrom="paragraph">
              <wp:posOffset>103505</wp:posOffset>
            </wp:positionV>
            <wp:extent cx="728345" cy="103505"/>
            <wp:effectExtent l="0" t="0" r="0" b="0"/>
            <wp:wrapTopAndBottom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28345" cy="10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103505" distB="48895" distL="0" distR="0" simplePos="0" relativeHeight="125829383" behindDoc="0" locked="0" layoutInCell="1" allowOverlap="1">
                <wp:simplePos x="0" y="0"/>
                <wp:positionH relativeFrom="page">
                  <wp:posOffset>3637915</wp:posOffset>
                </wp:positionH>
                <wp:positionV relativeFrom="paragraph">
                  <wp:posOffset>103505</wp:posOffset>
                </wp:positionV>
                <wp:extent cx="728345" cy="103505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103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407D" w:rsidRDefault="00C55295">
                            <w:pPr>
                              <w:pStyle w:val="Style4"/>
                            </w:pPr>
                            <w:r>
                              <w:rPr>
                                <w:rStyle w:val="CharStyle5"/>
                              </w:rPr>
                              <w:t>4444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286.44999999999999pt;margin-top:8.1500000000000004pt;width:57.350000000000001pt;height:8.1500000000000004pt;z-index:-125829370;mso-wrap-distance-left:0;mso-wrap-distance-top:8.1500000000000004pt;mso-wrap-distance-right:0;mso-wrap-distance-bottom:3.8500000000000001pt;mso-position-horizontal-relative:page" filled="f" stroked="f">
                <v:textbox inset="0,0,0,0">
                  <w:txbxContent>
                    <w:p>
                      <w:pPr>
                        <w:pStyle w:val="Style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"/>
                        </w:rPr>
                        <w:t>4444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5"/>
        <w:gridCol w:w="4670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Producent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HPE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right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IBM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Dell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Broadcom</w:t>
            </w:r>
            <w:proofErr w:type="spellEnd"/>
            <w:r>
              <w:rPr>
                <w:rStyle w:val="CharStyle17"/>
              </w:rPr>
              <w:t xml:space="preserve"> (</w:t>
            </w:r>
            <w:proofErr w:type="spellStart"/>
            <w:r>
              <w:rPr>
                <w:rStyle w:val="CharStyle17"/>
              </w:rPr>
              <w:t>Brocade</w:t>
            </w:r>
            <w:proofErr w:type="spellEnd"/>
            <w:r>
              <w:rPr>
                <w:rStyle w:val="CharStyle17"/>
              </w:rPr>
              <w:t>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C55295">
      <w:pPr>
        <w:pStyle w:val="Style29"/>
        <w:keepNext/>
        <w:keepLines/>
        <w:numPr>
          <w:ilvl w:val="2"/>
          <w:numId w:val="3"/>
        </w:numPr>
        <w:tabs>
          <w:tab w:val="left" w:pos="715"/>
        </w:tabs>
        <w:spacing w:after="120"/>
      </w:pPr>
      <w:bookmarkStart w:id="35" w:name="bookmark57"/>
      <w:r>
        <w:rPr>
          <w:rStyle w:val="CharStyle30"/>
          <w:b/>
          <w:bCs/>
          <w:i/>
          <w:iCs/>
        </w:rPr>
        <w:t>Infrastruktura ICT pod systemy ICT</w:t>
      </w:r>
      <w:bookmarkEnd w:id="35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8"/>
        <w:gridCol w:w="1718"/>
        <w:gridCol w:w="1450"/>
        <w:gridCol w:w="2870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Producent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Model lub seria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114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Catalyst</w:t>
            </w:r>
            <w:proofErr w:type="spellEnd"/>
            <w:r>
              <w:rPr>
                <w:rStyle w:val="CharStyle17"/>
              </w:rPr>
              <w:t xml:space="preserve"> 9600, </w:t>
            </w:r>
            <w:r>
              <w:rPr>
                <w:rStyle w:val="CharStyle17"/>
              </w:rPr>
              <w:t>C9500-16X/C9500-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40X, C9300-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24S</w:t>
            </w:r>
            <w:proofErr w:type="gramStart"/>
            <w:r>
              <w:rPr>
                <w:rStyle w:val="CharStyle17"/>
              </w:rPr>
              <w:t>,C</w:t>
            </w:r>
            <w:proofErr w:type="gramEnd"/>
            <w:r>
              <w:rPr>
                <w:rStyle w:val="CharStyle17"/>
              </w:rPr>
              <w:t>9300-48S, C9300X-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12Y</w:t>
            </w:r>
            <w:proofErr w:type="gramStart"/>
            <w:r>
              <w:rPr>
                <w:rStyle w:val="CharStyle17"/>
              </w:rPr>
              <w:t>,C</w:t>
            </w:r>
            <w:proofErr w:type="gramEnd"/>
            <w:r>
              <w:rPr>
                <w:rStyle w:val="CharStyle17"/>
              </w:rPr>
              <w:t>9300X-24Y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Przełączniki rdzeniowe sieci biurowej ICT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Wymagana funkcjonalność Network Advantage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176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3560CX,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9200L/9200, 9300/9300L, 9400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Przełączniki dostępowe sieci biurowej ICT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Minimalna funkcjonalność </w:t>
            </w:r>
            <w:proofErr w:type="spellStart"/>
            <w:r>
              <w:rPr>
                <w:rStyle w:val="CharStyle17"/>
              </w:rPr>
              <w:t>Lan</w:t>
            </w:r>
            <w:proofErr w:type="spellEnd"/>
            <w:r>
              <w:rPr>
                <w:rStyle w:val="CharStyle17"/>
              </w:rPr>
              <w:t xml:space="preserve"> Base (</w:t>
            </w:r>
            <w:proofErr w:type="spellStart"/>
            <w:r>
              <w:rPr>
                <w:rStyle w:val="CharStyle17"/>
              </w:rPr>
              <w:t>IPBase</w:t>
            </w:r>
            <w:proofErr w:type="spellEnd"/>
            <w:r>
              <w:rPr>
                <w:rStyle w:val="CharStyle17"/>
              </w:rPr>
              <w:t xml:space="preserve"> dla </w:t>
            </w:r>
            <w:proofErr w:type="spellStart"/>
            <w:r>
              <w:rPr>
                <w:rStyle w:val="CharStyle17"/>
              </w:rPr>
              <w:t>MACsec</w:t>
            </w:r>
            <w:proofErr w:type="spellEnd"/>
            <w:r>
              <w:rPr>
                <w:rStyle w:val="CharStyle17"/>
              </w:rPr>
              <w:t xml:space="preserve"> Switch-to- Switch Link Security) lub Network </w:t>
            </w:r>
            <w:proofErr w:type="spellStart"/>
            <w:r>
              <w:rPr>
                <w:rStyle w:val="CharStyle17"/>
              </w:rPr>
              <w:t>Esseentials</w:t>
            </w:r>
            <w:proofErr w:type="spellEnd"/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Nexus</w:t>
            </w:r>
            <w:proofErr w:type="spellEnd"/>
            <w:r>
              <w:rPr>
                <w:rStyle w:val="CharStyle17"/>
              </w:rPr>
              <w:t xml:space="preserve"> 2000, 7700, 9300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CPD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354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HPE Aruba*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Aruba 3810M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16SFP+,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Aruba 3810M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24SFP+, Aruba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5406R zl2, Aruba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5412R zl2, Aruba 8320, Aruba </w:t>
            </w:r>
            <w:r>
              <w:rPr>
                <w:rStyle w:val="CharStyle17"/>
              </w:rPr>
              <w:t>8400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Przełączniki rdzeniowe sieci biurowej ICT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931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HPE Aruba*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Aruba 2930F, Aruba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2930M, Aruba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3810M, Aruba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5406R zl2, Aruba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5412R zl2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37407D">
            <w:pPr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Przełączniki dostępowe sieci biurowej ICT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Paloalto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PA 400, PA-800,PA 3200, PA 5200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Zalecany do separacji </w:t>
            </w:r>
            <w:r>
              <w:rPr>
                <w:rStyle w:val="CharStyle17"/>
              </w:rPr>
              <w:t>sieci, ochrony styku WAN, TR i CPD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F5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BIG-IP </w:t>
            </w:r>
            <w:proofErr w:type="spellStart"/>
            <w:r>
              <w:rPr>
                <w:rStyle w:val="CharStyle17"/>
              </w:rPr>
              <w:t>iSeries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Zalecany dla urządzeń typu „</w:t>
            </w:r>
            <w:proofErr w:type="spellStart"/>
            <w:r>
              <w:rPr>
                <w:rStyle w:val="CharStyle17"/>
              </w:rPr>
              <w:t>load</w:t>
            </w:r>
            <w:proofErr w:type="spellEnd"/>
            <w:r>
              <w:rPr>
                <w:rStyle w:val="CharStyle17"/>
              </w:rPr>
              <w:t xml:space="preserve"> </w:t>
            </w:r>
            <w:proofErr w:type="spellStart"/>
            <w:r>
              <w:rPr>
                <w:rStyle w:val="CharStyle17"/>
              </w:rPr>
              <w:t>balancer</w:t>
            </w:r>
            <w:proofErr w:type="spellEnd"/>
            <w:r>
              <w:rPr>
                <w:rStyle w:val="CharStyle17"/>
              </w:rPr>
              <w:t>”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WLC C9800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Zalecany dla kontrolerów WLAN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Catalyst</w:t>
            </w:r>
            <w:proofErr w:type="spellEnd"/>
            <w:r>
              <w:rPr>
                <w:rStyle w:val="CharStyle17"/>
              </w:rPr>
              <w:t xml:space="preserve"> 9100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Zalecany dla punktów dostępowych AP</w:t>
            </w:r>
          </w:p>
        </w:tc>
      </w:tr>
    </w:tbl>
    <w:p w:rsidR="0037407D" w:rsidRDefault="00C55295">
      <w:pPr>
        <w:pStyle w:val="Style13"/>
        <w:spacing w:line="293" w:lineRule="auto"/>
        <w:ind w:left="149"/>
      </w:pPr>
      <w:r>
        <w:rPr>
          <w:rStyle w:val="CharStyle14"/>
        </w:rPr>
        <w:t xml:space="preserve">* W przypadku częściowej </w:t>
      </w:r>
      <w:r>
        <w:rPr>
          <w:rStyle w:val="CharStyle14"/>
        </w:rPr>
        <w:t>modernizacji sieci zalecane jest stosowanie jednego producenta w danej lokalizacji. W przypadku budowy nowego środowiska sieciowego (lub całościowej modernizacji) zalecany jest wybór jednej z dwóch technologii (Cisco, Aruba).</w:t>
      </w:r>
    </w:p>
    <w:p w:rsidR="0037407D" w:rsidRDefault="0037407D">
      <w:pPr>
        <w:spacing w:after="219" w:line="1" w:lineRule="exact"/>
      </w:pPr>
    </w:p>
    <w:p w:rsidR="0037407D" w:rsidRDefault="00C55295">
      <w:pPr>
        <w:pStyle w:val="Style34"/>
      </w:pPr>
      <w:r>
        <w:rPr>
          <w:rStyle w:val="CharStyle35"/>
        </w:rPr>
        <w:t xml:space="preserve">* W przypadku przełączników </w:t>
      </w:r>
      <w:r>
        <w:rPr>
          <w:rStyle w:val="CharStyle35"/>
        </w:rPr>
        <w:t xml:space="preserve">przeznaczonych do sieci użytkowników rekomendowane jest zastosowanie przełączników z </w:t>
      </w:r>
      <w:proofErr w:type="spellStart"/>
      <w:r>
        <w:rPr>
          <w:rStyle w:val="CharStyle35"/>
        </w:rPr>
        <w:t>PoE</w:t>
      </w:r>
      <w:proofErr w:type="spellEnd"/>
      <w:r>
        <w:rPr>
          <w:rStyle w:val="CharStyle35"/>
        </w:rPr>
        <w:t>+</w:t>
      </w:r>
    </w:p>
    <w:p w:rsidR="0037407D" w:rsidRDefault="00C55295">
      <w:pPr>
        <w:pStyle w:val="Style34"/>
      </w:pPr>
      <w:r>
        <w:rPr>
          <w:rStyle w:val="CharStyle35"/>
        </w:rPr>
        <w:t>Uwaga! W celu zwiększenia niezawodności sieci wymagane jest wyposażenie urządzeń w redundantne zasilacze (w modelach urządzeń które na to pozwalają).</w:t>
      </w:r>
    </w:p>
    <w:p w:rsidR="0037407D" w:rsidRDefault="00C55295">
      <w:pPr>
        <w:pStyle w:val="Style29"/>
        <w:keepNext/>
        <w:keepLines/>
        <w:numPr>
          <w:ilvl w:val="2"/>
          <w:numId w:val="3"/>
        </w:numPr>
        <w:tabs>
          <w:tab w:val="left" w:pos="715"/>
        </w:tabs>
        <w:spacing w:after="260"/>
      </w:pPr>
      <w:bookmarkStart w:id="36" w:name="bookmark59"/>
      <w:r>
        <w:rPr>
          <w:rStyle w:val="CharStyle30"/>
          <w:b/>
          <w:bCs/>
          <w:i/>
          <w:iCs/>
        </w:rPr>
        <w:t>Infrastruktura I</w:t>
      </w:r>
      <w:r>
        <w:rPr>
          <w:rStyle w:val="CharStyle30"/>
          <w:b/>
          <w:bCs/>
          <w:i/>
          <w:iCs/>
        </w:rPr>
        <w:t>CT pod systemy OT</w:t>
      </w:r>
      <w:bookmarkEnd w:id="36"/>
    </w:p>
    <w:p w:rsidR="0037407D" w:rsidRDefault="00C55295">
      <w:pPr>
        <w:pStyle w:val="Style32"/>
        <w:keepNext/>
        <w:keepLines/>
        <w:spacing w:after="220"/>
      </w:pPr>
      <w:bookmarkStart w:id="37" w:name="bookmark61"/>
      <w:r>
        <w:rPr>
          <w:rStyle w:val="CharStyle33"/>
        </w:rPr>
        <w:t>Dodatkowo dopuszcza się jako standardy dla infrastruktury ICT pod systemy OT:</w:t>
      </w:r>
      <w:bookmarkEnd w:id="37"/>
      <w:r>
        <w:br w:type="page"/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8"/>
        <w:gridCol w:w="1718"/>
        <w:gridCol w:w="1450"/>
        <w:gridCol w:w="2870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lastRenderedPageBreak/>
              <w:t>Producent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Model lub seria **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Seria </w:t>
            </w:r>
            <w:proofErr w:type="spellStart"/>
            <w:r>
              <w:rPr>
                <w:rStyle w:val="CharStyle17"/>
              </w:rPr>
              <w:t>FirePower</w:t>
            </w:r>
            <w:proofErr w:type="spellEnd"/>
            <w:r>
              <w:rPr>
                <w:rStyle w:val="CharStyle17"/>
              </w:rPr>
              <w:t xml:space="preserve"> 3100, 4100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Ochrona sieci technologicznej i systemów OT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4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ASA 5500 z modułem </w:t>
            </w:r>
            <w:proofErr w:type="spellStart"/>
            <w:r>
              <w:rPr>
                <w:rStyle w:val="CharStyle17"/>
              </w:rPr>
              <w:t>FirePower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Ochrona sieci technologicznej i systemów OT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4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CheckPoint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Serie z czasem życia nie krótszych niż 5 najbliższych lat od czasu dostawy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Separacja sieci technologicznej, Separacja technologicznej sieci WAN, </w:t>
            </w:r>
            <w:r>
              <w:rPr>
                <w:rStyle w:val="CharStyle17"/>
              </w:rPr>
              <w:t>ochrona punktów styku IT - OT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Barracuda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Barracuda</w:t>
            </w:r>
            <w:proofErr w:type="spellEnd"/>
            <w:r>
              <w:rPr>
                <w:rStyle w:val="CharStyle17"/>
              </w:rPr>
              <w:t xml:space="preserve"> Web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Application Firewall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Web Application Firewall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4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CheckPoint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Seria R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Ochrona punktów styku z obcymi podmiotami i obiektami stacyjnymi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Radiflow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Seria RF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Ochrona punktów styku z </w:t>
            </w:r>
            <w:r>
              <w:rPr>
                <w:rStyle w:val="CharStyle17"/>
              </w:rPr>
              <w:t>obcymi podmiotami i obiektami stacyjnymi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ECI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Seria NPT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Technologiczna sieć szkieletowa (MPLS)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44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Nokia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Serie z czasem życia nie krótszych niż 5 najbliższych lat od czasu dostawy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Technologiczna sieć szkieletowa (MPLS)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4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Serie z czasem </w:t>
            </w:r>
            <w:r>
              <w:rPr>
                <w:rStyle w:val="CharStyle17"/>
              </w:rPr>
              <w:t>życia nie krótszych niż 5 najbliższych lat od czasu dostawy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Technologiczna sieć szkieletowa (MPLS), Technologiczna sieć dostępowa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44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Siemens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Serie z czasem życia nie krótszych niż 5 najbliższych lat od czasu dostawy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Technologiczna sieć </w:t>
            </w:r>
            <w:r>
              <w:rPr>
                <w:rStyle w:val="CharStyle17"/>
              </w:rPr>
              <w:t>dostępowa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49"/>
          <w:jc w:val="right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Alcatel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Serie z czasem życia nie krótszych niż 5 najbliższych lat od czasu dostawy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Technologiczna sieć dostępowa</w:t>
            </w:r>
          </w:p>
        </w:tc>
      </w:tr>
    </w:tbl>
    <w:p w:rsidR="0037407D" w:rsidRDefault="00C55295">
      <w:pPr>
        <w:pStyle w:val="Style13"/>
        <w:ind w:left="149"/>
      </w:pPr>
      <w:r>
        <w:rPr>
          <w:rStyle w:val="CharStyle14"/>
        </w:rPr>
        <w:t xml:space="preserve">* W przypadku częściowej modernizacji sieci zalecane jest stosowanie jednego producenta w danej lokalizacji. W przypadku </w:t>
      </w:r>
      <w:r>
        <w:rPr>
          <w:rStyle w:val="CharStyle14"/>
        </w:rPr>
        <w:t>budowy nowego środowiska sieciowego (lub całościowej modernizacji) zalecany jest wybór jednej z dwóch technologii (Cisco, Aruba).</w:t>
      </w:r>
    </w:p>
    <w:p w:rsidR="0037407D" w:rsidRDefault="0037407D">
      <w:pPr>
        <w:spacing w:after="259" w:line="1" w:lineRule="exact"/>
      </w:pPr>
    </w:p>
    <w:p w:rsidR="0037407D" w:rsidRDefault="00C55295">
      <w:pPr>
        <w:pStyle w:val="Style34"/>
      </w:pPr>
      <w:r>
        <w:rPr>
          <w:rStyle w:val="CharStyle35"/>
        </w:rPr>
        <w:t xml:space="preserve">* W przypadku przełączników przeznaczonych do sieci użytkowników rekomendowane jest zastosowanie przełączników z </w:t>
      </w:r>
      <w:proofErr w:type="spellStart"/>
      <w:r>
        <w:rPr>
          <w:rStyle w:val="CharStyle35"/>
        </w:rPr>
        <w:t>PoE</w:t>
      </w:r>
      <w:proofErr w:type="spellEnd"/>
      <w:r>
        <w:rPr>
          <w:rStyle w:val="CharStyle35"/>
        </w:rPr>
        <w:t>+</w:t>
      </w:r>
    </w:p>
    <w:p w:rsidR="0037407D" w:rsidRDefault="00C55295">
      <w:pPr>
        <w:pStyle w:val="Style34"/>
        <w:spacing w:after="260" w:line="240" w:lineRule="auto"/>
      </w:pPr>
      <w:r>
        <w:rPr>
          <w:rStyle w:val="CharStyle35"/>
        </w:rPr>
        <w:t>** Dopu</w:t>
      </w:r>
      <w:r>
        <w:rPr>
          <w:rStyle w:val="CharStyle35"/>
        </w:rPr>
        <w:t>szcza się urządzenia równoważne spełniające normę IEC 61850</w:t>
      </w:r>
    </w:p>
    <w:p w:rsidR="0037407D" w:rsidRDefault="00C55295">
      <w:pPr>
        <w:pStyle w:val="Style34"/>
      </w:pPr>
      <w:r>
        <w:rPr>
          <w:rStyle w:val="CharStyle35"/>
        </w:rPr>
        <w:t>Uwaga! W celu zwiększenia niezawodności sieci wymagane jest wyposażenie urządzeń w redundantne zasilacze (w modelach urządzeń które na to pozwalają).</w:t>
      </w: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48"/>
        </w:tabs>
      </w:pPr>
      <w:bookmarkStart w:id="38" w:name="bookmark64"/>
      <w:bookmarkStart w:id="39" w:name="bookmark63"/>
      <w:r>
        <w:rPr>
          <w:rStyle w:val="CharStyle3"/>
          <w:b/>
          <w:bCs/>
        </w:rPr>
        <w:t>Standardy dla urządzeń na styku z siecią Inter</w:t>
      </w:r>
      <w:r>
        <w:rPr>
          <w:rStyle w:val="CharStyle3"/>
          <w:b/>
          <w:bCs/>
        </w:rPr>
        <w:t>net oraz zdalny dostęp</w:t>
      </w:r>
      <w:bookmarkEnd w:id="38"/>
      <w:bookmarkEnd w:id="39"/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664"/>
        </w:tabs>
        <w:spacing w:after="120"/>
      </w:pPr>
      <w:bookmarkStart w:id="40" w:name="bookmark66"/>
      <w:r>
        <w:rPr>
          <w:rStyle w:val="CharStyle30"/>
          <w:b/>
          <w:bCs/>
          <w:i/>
          <w:iCs/>
        </w:rPr>
        <w:t>Infrastruktura ICT pod systemy ICT</w:t>
      </w:r>
      <w:bookmarkEnd w:id="40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7"/>
        <w:gridCol w:w="2966"/>
        <w:gridCol w:w="989"/>
        <w:gridCol w:w="2304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Producent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Model lub seria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562"/>
          <w:jc w:val="right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PaloAlto</w:t>
            </w:r>
            <w:proofErr w:type="spellEnd"/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PA 400, PA-800,PA 3200, PA 5200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Zalecany dla zapór sieciowych/IPS/zdalny dostęp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ISR 1000, ASR 1000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Zalecany dla routerów CE – BGP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right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Pulse</w:t>
            </w:r>
            <w:proofErr w:type="spellEnd"/>
            <w:r>
              <w:rPr>
                <w:rStyle w:val="CharStyle17"/>
              </w:rPr>
              <w:t xml:space="preserve"> </w:t>
            </w:r>
            <w:proofErr w:type="spellStart"/>
            <w:r>
              <w:rPr>
                <w:rStyle w:val="CharStyle17"/>
              </w:rPr>
              <w:t>Secure</w:t>
            </w:r>
            <w:proofErr w:type="spellEnd"/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PSA300/PSA3000/PSA5000/PSA7000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Zalecany dla zdalnego dostępu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4"/>
          <w:jc w:val="right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F5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AWAF BIG-IP </w:t>
            </w:r>
            <w:proofErr w:type="spellStart"/>
            <w:r>
              <w:rPr>
                <w:rStyle w:val="CharStyle17"/>
              </w:rPr>
              <w:t>iSeries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Zalecany dla urządzeń typu Web Application Firewall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right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F5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DNS BIG-IP </w:t>
            </w:r>
            <w:proofErr w:type="spellStart"/>
            <w:r>
              <w:rPr>
                <w:rStyle w:val="CharStyle17"/>
              </w:rPr>
              <w:t>iSeries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Zalecany dla obsługi DNS </w:t>
            </w:r>
            <w:r>
              <w:rPr>
                <w:rStyle w:val="CharStyle17"/>
              </w:rPr>
              <w:t>oraz usługi „</w:t>
            </w:r>
            <w:proofErr w:type="spellStart"/>
            <w:r>
              <w:rPr>
                <w:rStyle w:val="CharStyle17"/>
              </w:rPr>
              <w:t>global</w:t>
            </w:r>
            <w:proofErr w:type="spellEnd"/>
            <w:r>
              <w:rPr>
                <w:rStyle w:val="CharStyle17"/>
              </w:rPr>
              <w:t xml:space="preserve"> </w:t>
            </w:r>
            <w:proofErr w:type="spellStart"/>
            <w:r>
              <w:rPr>
                <w:rStyle w:val="CharStyle17"/>
              </w:rPr>
              <w:t>balancer</w:t>
            </w:r>
            <w:proofErr w:type="spellEnd"/>
            <w:r>
              <w:rPr>
                <w:rStyle w:val="CharStyle17"/>
              </w:rPr>
              <w:t>”</w:t>
            </w:r>
          </w:p>
        </w:tc>
      </w:tr>
    </w:tbl>
    <w:p w:rsidR="0037407D" w:rsidRDefault="00C55295">
      <w:pPr>
        <w:spacing w:line="1" w:lineRule="exact"/>
        <w:rPr>
          <w:sz w:val="2"/>
          <w:szCs w:val="2"/>
        </w:rPr>
      </w:pPr>
      <w:r>
        <w:br w:type="page"/>
      </w:r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680"/>
        </w:tabs>
        <w:spacing w:after="240"/>
      </w:pPr>
      <w:bookmarkStart w:id="41" w:name="bookmark68"/>
      <w:r>
        <w:rPr>
          <w:rStyle w:val="CharStyle30"/>
          <w:b/>
          <w:bCs/>
          <w:i/>
          <w:iCs/>
        </w:rPr>
        <w:lastRenderedPageBreak/>
        <w:t>Infrastruktura ICT pod systemy ICT</w:t>
      </w:r>
      <w:bookmarkEnd w:id="41"/>
    </w:p>
    <w:p w:rsidR="0037407D" w:rsidRDefault="00C55295">
      <w:pPr>
        <w:pStyle w:val="Style32"/>
        <w:keepNext/>
        <w:keepLines/>
      </w:pPr>
      <w:bookmarkStart w:id="42" w:name="bookmark70"/>
      <w:r>
        <w:rPr>
          <w:rStyle w:val="CharStyle33"/>
        </w:rPr>
        <w:t>Dodatkowo dopuszcza się jako standardy dla infrastruktury ICT pod systemy OT:</w:t>
      </w:r>
      <w:bookmarkEnd w:id="4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7"/>
        <w:gridCol w:w="2966"/>
        <w:gridCol w:w="989"/>
        <w:gridCol w:w="2304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Producent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Model lub seria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CheckPoint</w:t>
            </w:r>
            <w:proofErr w:type="spellEnd"/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Serie z czasem życia nie </w:t>
            </w:r>
            <w:r>
              <w:rPr>
                <w:rStyle w:val="CharStyle17"/>
              </w:rPr>
              <w:t>krótszych niż 5 najbliższych lat od czasu dostawy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center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Zapory sieciowe/IPS/VPN</w:t>
            </w:r>
          </w:p>
        </w:tc>
      </w:tr>
    </w:tbl>
    <w:p w:rsidR="0037407D" w:rsidRDefault="0037407D">
      <w:pPr>
        <w:spacing w:after="23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41"/>
        </w:tabs>
      </w:pPr>
      <w:bookmarkStart w:id="43" w:name="bookmark73"/>
      <w:bookmarkStart w:id="44" w:name="bookmark72"/>
      <w:r>
        <w:rPr>
          <w:rStyle w:val="CharStyle3"/>
          <w:b/>
          <w:bCs/>
        </w:rPr>
        <w:t>Standardy dla systemów operacyjnych z rodziny UNIX/Linux</w:t>
      </w:r>
      <w:bookmarkEnd w:id="43"/>
      <w:bookmarkEnd w:id="4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7"/>
        <w:gridCol w:w="1075"/>
        <w:gridCol w:w="1886"/>
        <w:gridCol w:w="2477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 minimum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  <w:jc w:val="both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RHEL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8.</w:t>
            </w:r>
            <w:proofErr w:type="gramStart"/>
            <w:r>
              <w:rPr>
                <w:rStyle w:val="CharStyle17"/>
              </w:rPr>
              <w:t>x</w:t>
            </w:r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  <w:jc w:val="both"/>
            </w:pPr>
            <w:r>
              <w:rPr>
                <w:rStyle w:val="CharStyle17"/>
              </w:rPr>
              <w:t>Maszyny fizyczne i wirtualne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Oracle Linux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8.</w:t>
            </w:r>
            <w:proofErr w:type="gramStart"/>
            <w:r>
              <w:rPr>
                <w:rStyle w:val="CharStyle17"/>
              </w:rPr>
              <w:t>x</w:t>
            </w:r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  <w:jc w:val="both"/>
            </w:pPr>
            <w:r>
              <w:rPr>
                <w:rStyle w:val="CharStyle17"/>
              </w:rPr>
              <w:t>Maszyny fizyczne i wirtualne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SUSE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12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  <w:jc w:val="both"/>
            </w:pPr>
            <w:r>
              <w:rPr>
                <w:rStyle w:val="CharStyle17"/>
              </w:rPr>
              <w:t>Maszyny fizyczne i wirtualne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Ubuntu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20.04 LTS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both"/>
            </w:pPr>
            <w:r>
              <w:rPr>
                <w:rStyle w:val="CharStyle17"/>
              </w:rPr>
              <w:t>Maszyny fizyczne i wirtualne</w:t>
            </w:r>
          </w:p>
        </w:tc>
      </w:tr>
    </w:tbl>
    <w:p w:rsidR="0037407D" w:rsidRDefault="0037407D">
      <w:pPr>
        <w:spacing w:after="23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41"/>
        </w:tabs>
      </w:pPr>
      <w:bookmarkStart w:id="45" w:name="bookmark76"/>
      <w:bookmarkStart w:id="46" w:name="bookmark75"/>
      <w:r>
        <w:rPr>
          <w:rStyle w:val="CharStyle3"/>
          <w:b/>
          <w:bCs/>
        </w:rPr>
        <w:t>Standardy dla systemów operacyjnych z rodziny Windows</w:t>
      </w:r>
      <w:bookmarkEnd w:id="45"/>
      <w:bookmarkEnd w:id="46"/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670"/>
        </w:tabs>
        <w:spacing w:after="120"/>
      </w:pPr>
      <w:bookmarkStart w:id="47" w:name="bookmark78"/>
      <w:r>
        <w:rPr>
          <w:rStyle w:val="CharStyle30"/>
          <w:b/>
          <w:bCs/>
          <w:i/>
          <w:iCs/>
        </w:rPr>
        <w:t>Infrastruktura ICT pod systemy ICT</w:t>
      </w:r>
      <w:bookmarkEnd w:id="4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2"/>
        <w:gridCol w:w="2496"/>
        <w:gridCol w:w="3058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Microsoft Windows Server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2016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Microsoft Windows Server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2019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379" w:line="1" w:lineRule="exact"/>
      </w:pPr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680"/>
        </w:tabs>
        <w:spacing w:after="240"/>
      </w:pPr>
      <w:bookmarkStart w:id="48" w:name="bookmark80"/>
      <w:r>
        <w:rPr>
          <w:rStyle w:val="CharStyle30"/>
          <w:b/>
          <w:bCs/>
          <w:i/>
          <w:iCs/>
        </w:rPr>
        <w:t>Infrastruktura ICT pod systemy OT</w:t>
      </w:r>
      <w:bookmarkEnd w:id="48"/>
    </w:p>
    <w:p w:rsidR="0037407D" w:rsidRDefault="00C55295">
      <w:pPr>
        <w:pStyle w:val="Style32"/>
        <w:keepNext/>
        <w:keepLines/>
      </w:pPr>
      <w:bookmarkStart w:id="49" w:name="bookmark82"/>
      <w:r>
        <w:rPr>
          <w:rStyle w:val="CharStyle33"/>
        </w:rPr>
        <w:t>Dodatkowo dopuszcza się jako standardy dla infrastruktury ICT pod systemy OT:</w:t>
      </w:r>
      <w:bookmarkEnd w:id="4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2"/>
        <w:gridCol w:w="2496"/>
        <w:gridCol w:w="3058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 xml:space="preserve">Cykl życia </w:t>
            </w:r>
            <w:r>
              <w:rPr>
                <w:rStyle w:val="CharStyle17"/>
                <w:b/>
                <w:bCs/>
              </w:rPr>
              <w:t>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Microsoft Windows Server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2022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33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41"/>
        </w:tabs>
      </w:pPr>
      <w:bookmarkStart w:id="50" w:name="bookmark85"/>
      <w:bookmarkStart w:id="51" w:name="bookmark84"/>
      <w:r>
        <w:rPr>
          <w:rStyle w:val="CharStyle3"/>
          <w:b/>
          <w:bCs/>
        </w:rPr>
        <w:t>Standardy dla baz danych</w:t>
      </w:r>
      <w:bookmarkEnd w:id="50"/>
      <w:bookmarkEnd w:id="5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8"/>
        <w:gridCol w:w="1157"/>
        <w:gridCol w:w="1819"/>
        <w:gridCol w:w="3091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Baza danych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 operacyjny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PostgreSQL</w:t>
            </w:r>
            <w:proofErr w:type="spellEnd"/>
            <w:r>
              <w:rPr>
                <w:rStyle w:val="CharStyle17"/>
              </w:rPr>
              <w:t>/</w:t>
            </w:r>
            <w:proofErr w:type="spellStart"/>
            <w:r>
              <w:rPr>
                <w:rStyle w:val="CharStyle17"/>
              </w:rPr>
              <w:t>EnterpriseDB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9.6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Unix/Linux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MongoDB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3.6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Linux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Oracle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19c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Unix/Linux/Windows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MS SQL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2016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SP2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Windows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23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41"/>
        </w:tabs>
      </w:pPr>
      <w:bookmarkStart w:id="52" w:name="bookmark88"/>
      <w:bookmarkStart w:id="53" w:name="bookmark87"/>
      <w:r>
        <w:rPr>
          <w:rStyle w:val="CharStyle3"/>
          <w:b/>
          <w:bCs/>
        </w:rPr>
        <w:t>Standardy dla wirtualizacji serwerów</w:t>
      </w:r>
      <w:bookmarkEnd w:id="52"/>
      <w:bookmarkEnd w:id="5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2630"/>
        <w:gridCol w:w="3682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  <w:b/>
                <w:bCs/>
              </w:rPr>
              <w:t>Wirtualizator</w:t>
            </w:r>
            <w:proofErr w:type="spellEnd"/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MS Hyper-V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Od </w:t>
            </w:r>
            <w:proofErr w:type="spellStart"/>
            <w:r>
              <w:rPr>
                <w:rStyle w:val="CharStyle17"/>
              </w:rPr>
              <w:t>WinSvr</w:t>
            </w:r>
            <w:proofErr w:type="spellEnd"/>
            <w:r>
              <w:rPr>
                <w:rStyle w:val="CharStyle17"/>
              </w:rPr>
              <w:t xml:space="preserve"> 2016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OracleVM</w:t>
            </w:r>
            <w:proofErr w:type="spellEnd"/>
            <w:r>
              <w:rPr>
                <w:rStyle w:val="CharStyle17"/>
              </w:rPr>
              <w:t xml:space="preserve"> (Oracle KVM)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3.4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Vmware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7.0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proofErr w:type="gramStart"/>
            <w:r>
              <w:rPr>
                <w:rStyle w:val="CharStyle17"/>
              </w:rPr>
              <w:t>oVirt</w:t>
            </w:r>
            <w:proofErr w:type="spellEnd"/>
            <w:proofErr w:type="gramEnd"/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4.2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23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41"/>
        </w:tabs>
        <w:ind w:left="600" w:hanging="600"/>
      </w:pPr>
      <w:bookmarkStart w:id="54" w:name="bookmark91"/>
      <w:bookmarkStart w:id="55" w:name="bookmark90"/>
      <w:r>
        <w:rPr>
          <w:rStyle w:val="CharStyle3"/>
          <w:b/>
          <w:bCs/>
        </w:rPr>
        <w:t xml:space="preserve">Standardy dla </w:t>
      </w:r>
      <w:r>
        <w:rPr>
          <w:rStyle w:val="CharStyle3"/>
          <w:b/>
          <w:bCs/>
        </w:rPr>
        <w:t>rozwiązań wysokodostępnych (HA i DR) w zakresie systemów operacyjnych</w:t>
      </w:r>
      <w:bookmarkEnd w:id="54"/>
      <w:bookmarkEnd w:id="55"/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790"/>
        </w:tabs>
        <w:spacing w:after="120"/>
      </w:pPr>
      <w:bookmarkStart w:id="56" w:name="bookmark93"/>
      <w:r>
        <w:rPr>
          <w:rStyle w:val="CharStyle30"/>
          <w:b/>
          <w:bCs/>
          <w:i/>
          <w:iCs/>
        </w:rPr>
        <w:t>Infrastruktura ICT pod systemy ICT</w:t>
      </w:r>
      <w:bookmarkEnd w:id="56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9"/>
        <w:gridCol w:w="2947"/>
        <w:gridCol w:w="2952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Rozwiązanie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VMware</w:t>
            </w:r>
            <w:proofErr w:type="spellEnd"/>
            <w:r>
              <w:rPr>
                <w:rStyle w:val="CharStyle17"/>
              </w:rPr>
              <w:t xml:space="preserve"> HA klaster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7.0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VMware</w:t>
            </w:r>
            <w:proofErr w:type="spellEnd"/>
            <w:r>
              <w:rPr>
                <w:rStyle w:val="CharStyle17"/>
              </w:rPr>
              <w:t xml:space="preserve"> SRM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7.0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C55295">
      <w:pPr>
        <w:spacing w:line="1" w:lineRule="exact"/>
      </w:pPr>
      <w:r>
        <w:br w:type="page"/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9"/>
        <w:gridCol w:w="2947"/>
        <w:gridCol w:w="2952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lastRenderedPageBreak/>
              <w:t>Rozwiązanie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Windows klaster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2016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Veritas klaster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7.</w:t>
            </w:r>
            <w:proofErr w:type="gramStart"/>
            <w:r>
              <w:rPr>
                <w:rStyle w:val="CharStyle17"/>
              </w:rPr>
              <w:t>x</w:t>
            </w:r>
            <w:proofErr w:type="gram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HP </w:t>
            </w:r>
            <w:proofErr w:type="spellStart"/>
            <w:r>
              <w:rPr>
                <w:rStyle w:val="CharStyle17"/>
              </w:rPr>
              <w:t>ServiceGuard</w:t>
            </w:r>
            <w:proofErr w:type="spellEnd"/>
            <w:r>
              <w:rPr>
                <w:rStyle w:val="CharStyle17"/>
              </w:rPr>
              <w:t xml:space="preserve"> @ Linux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12.</w:t>
            </w:r>
            <w:proofErr w:type="gramStart"/>
            <w:r>
              <w:rPr>
                <w:rStyle w:val="CharStyle17"/>
              </w:rPr>
              <w:t>x</w:t>
            </w:r>
            <w:proofErr w:type="gram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119" w:line="1" w:lineRule="exact"/>
      </w:pPr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805"/>
        </w:tabs>
        <w:spacing w:after="240"/>
      </w:pPr>
      <w:bookmarkStart w:id="57" w:name="bookmark95"/>
      <w:r>
        <w:rPr>
          <w:rStyle w:val="CharStyle30"/>
          <w:b/>
          <w:bCs/>
          <w:i/>
          <w:iCs/>
        </w:rPr>
        <w:t>Infrastruktura ICT pod systemy OT</w:t>
      </w:r>
      <w:bookmarkEnd w:id="57"/>
    </w:p>
    <w:p w:rsidR="0037407D" w:rsidRDefault="00C55295">
      <w:pPr>
        <w:pStyle w:val="Style32"/>
        <w:keepNext/>
        <w:keepLines/>
      </w:pPr>
      <w:bookmarkStart w:id="58" w:name="bookmark97"/>
      <w:r>
        <w:rPr>
          <w:rStyle w:val="CharStyle33"/>
        </w:rPr>
        <w:t>Dodatkowo dopuszcza się jako standardy dla infrastruktury ICT pod systemy OT:</w:t>
      </w:r>
      <w:bookmarkEnd w:id="58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9"/>
        <w:gridCol w:w="2947"/>
        <w:gridCol w:w="2952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Rozwiązanie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 xml:space="preserve">Cykl życia </w:t>
            </w:r>
            <w:r>
              <w:rPr>
                <w:rStyle w:val="CharStyle17"/>
                <w:b/>
                <w:bCs/>
              </w:rPr>
              <w:t>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Oracle </w:t>
            </w:r>
            <w:proofErr w:type="spellStart"/>
            <w:r>
              <w:rPr>
                <w:rStyle w:val="CharStyle17"/>
              </w:rPr>
              <w:t>ClusterWare</w:t>
            </w:r>
            <w:proofErr w:type="spell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19.</w:t>
            </w:r>
            <w:proofErr w:type="gramStart"/>
            <w:r>
              <w:rPr>
                <w:rStyle w:val="CharStyle17"/>
              </w:rPr>
              <w:t>x</w:t>
            </w:r>
            <w:proofErr w:type="gram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right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Peacemaker</w:t>
            </w:r>
            <w:proofErr w:type="spell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2.1.</w:t>
            </w:r>
            <w:proofErr w:type="gramStart"/>
            <w:r>
              <w:rPr>
                <w:rStyle w:val="CharStyle17"/>
              </w:rPr>
              <w:t>x</w:t>
            </w:r>
            <w:proofErr w:type="gram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23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58"/>
        </w:tabs>
      </w:pPr>
      <w:bookmarkStart w:id="59" w:name="bookmark100"/>
      <w:bookmarkStart w:id="60" w:name="bookmark99"/>
      <w:r>
        <w:rPr>
          <w:rStyle w:val="CharStyle3"/>
          <w:b/>
          <w:bCs/>
        </w:rPr>
        <w:t>Standardy dla rozwiązań wysokodostępnych (HA i DR) w zakresie baz danych</w:t>
      </w:r>
      <w:bookmarkEnd w:id="59"/>
      <w:bookmarkEnd w:id="6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8"/>
        <w:gridCol w:w="1694"/>
        <w:gridCol w:w="4853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Rozwiązanie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Oracle RAC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Klaster w jednym ośrodku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Oracle </w:t>
            </w:r>
            <w:r>
              <w:rPr>
                <w:rStyle w:val="CharStyle17"/>
              </w:rPr>
              <w:t xml:space="preserve">Data </w:t>
            </w:r>
            <w:proofErr w:type="spellStart"/>
            <w:r>
              <w:rPr>
                <w:rStyle w:val="CharStyle17"/>
              </w:rPr>
              <w:t>Guard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Replikacja geograficzna, rozciągnięta między dwa ośrodki obliczeniowe z </w:t>
            </w:r>
            <w:proofErr w:type="spellStart"/>
            <w:r>
              <w:rPr>
                <w:rStyle w:val="CharStyle17"/>
              </w:rPr>
              <w:t>replkacją</w:t>
            </w:r>
            <w:proofErr w:type="spellEnd"/>
            <w:r>
              <w:rPr>
                <w:rStyle w:val="CharStyle17"/>
              </w:rPr>
              <w:t xml:space="preserve"> danych realizowaną za pomocą mechanizmu Data </w:t>
            </w:r>
            <w:proofErr w:type="spellStart"/>
            <w:r>
              <w:rPr>
                <w:rStyle w:val="CharStyle17"/>
              </w:rPr>
              <w:t>Guard</w:t>
            </w:r>
            <w:proofErr w:type="spellEnd"/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Oracle Active Data </w:t>
            </w:r>
            <w:proofErr w:type="spellStart"/>
            <w:r>
              <w:rPr>
                <w:rStyle w:val="CharStyle17"/>
              </w:rPr>
              <w:t>Guard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Replikacja geograficzna, rozciągnięta między dwa ośrodki obliczeniowe </w:t>
            </w:r>
            <w:r>
              <w:rPr>
                <w:rStyle w:val="CharStyle17"/>
              </w:rPr>
              <w:t xml:space="preserve">z replikacją danych realizowaną za pomocą mechanizmu Data </w:t>
            </w:r>
            <w:proofErr w:type="spellStart"/>
            <w:r>
              <w:rPr>
                <w:rStyle w:val="CharStyle17"/>
              </w:rPr>
              <w:t>Guard</w:t>
            </w:r>
            <w:proofErr w:type="spellEnd"/>
            <w:r>
              <w:rPr>
                <w:rStyle w:val="CharStyle17"/>
              </w:rPr>
              <w:t xml:space="preserve">. Dodatkowo środowisko </w:t>
            </w:r>
            <w:proofErr w:type="spellStart"/>
            <w:r>
              <w:rPr>
                <w:rStyle w:val="CharStyle17"/>
              </w:rPr>
              <w:t>Standby</w:t>
            </w:r>
            <w:proofErr w:type="spellEnd"/>
            <w:r>
              <w:rPr>
                <w:rStyle w:val="CharStyle17"/>
              </w:rPr>
              <w:t xml:space="preserve"> jest dostępne w trybie READ ONLY.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MS SQL</w:t>
            </w:r>
          </w:p>
          <w:p w:rsidR="0037407D" w:rsidRDefault="00C55295">
            <w:pPr>
              <w:pStyle w:val="Style16"/>
            </w:pPr>
            <w:r>
              <w:rPr>
                <w:rStyle w:val="CharStyle17"/>
              </w:rPr>
              <w:t>Cluster/Log</w:t>
            </w:r>
          </w:p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Shipping</w:t>
            </w:r>
            <w:proofErr w:type="spellEnd"/>
            <w:r>
              <w:rPr>
                <w:rStyle w:val="CharStyle17"/>
              </w:rPr>
              <w:t>/</w:t>
            </w:r>
            <w:proofErr w:type="spellStart"/>
            <w:r>
              <w:rPr>
                <w:rStyle w:val="CharStyle17"/>
              </w:rPr>
              <w:t>AlwaysOn</w:t>
            </w:r>
            <w:proofErr w:type="spellEnd"/>
          </w:p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Availability</w:t>
            </w:r>
            <w:proofErr w:type="spellEnd"/>
            <w:r>
              <w:rPr>
                <w:rStyle w:val="CharStyle17"/>
              </w:rPr>
              <w:t xml:space="preserve"> </w:t>
            </w:r>
            <w:proofErr w:type="spellStart"/>
            <w:r>
              <w:rPr>
                <w:rStyle w:val="CharStyle17"/>
              </w:rPr>
              <w:t>Group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Klaster w jednym ośrodku lub replikacja geograficzna rozciągnię</w:t>
            </w:r>
            <w:r>
              <w:rPr>
                <w:rStyle w:val="CharStyle17"/>
              </w:rPr>
              <w:t>ta między dwa ośrodki obliczeniowe z replikacją danych realizowaną za pomocą mechanizmu MS SQL Mirroring</w:t>
            </w:r>
          </w:p>
        </w:tc>
      </w:tr>
    </w:tbl>
    <w:p w:rsidR="0037407D" w:rsidRDefault="0037407D">
      <w:pPr>
        <w:spacing w:after="23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58"/>
        </w:tabs>
      </w:pPr>
      <w:bookmarkStart w:id="61" w:name="bookmark103"/>
      <w:bookmarkStart w:id="62" w:name="bookmark102"/>
      <w:r>
        <w:rPr>
          <w:rStyle w:val="CharStyle3"/>
          <w:b/>
          <w:bCs/>
        </w:rPr>
        <w:t>Standardy dla systemów zabezpieczania danych</w:t>
      </w:r>
      <w:bookmarkEnd w:id="61"/>
      <w:bookmarkEnd w:id="62"/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790"/>
        </w:tabs>
        <w:spacing w:after="120"/>
      </w:pPr>
      <w:bookmarkStart w:id="63" w:name="bookmark105"/>
      <w:r>
        <w:rPr>
          <w:rStyle w:val="CharStyle30"/>
          <w:b/>
          <w:bCs/>
          <w:i/>
          <w:iCs/>
        </w:rPr>
        <w:t>Infrastruktura ICT pod systemy ICT</w:t>
      </w:r>
      <w:bookmarkEnd w:id="6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7"/>
        <w:gridCol w:w="1344"/>
        <w:gridCol w:w="3014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Commvault</w:t>
            </w:r>
            <w:proofErr w:type="spellEnd"/>
            <w:r>
              <w:rPr>
                <w:rStyle w:val="CharStyle17"/>
              </w:rPr>
              <w:t xml:space="preserve"> Complete Backup &amp; </w:t>
            </w:r>
            <w:proofErr w:type="spellStart"/>
            <w:r>
              <w:rPr>
                <w:rStyle w:val="CharStyle17"/>
              </w:rPr>
              <w:t>Recovery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gramStart"/>
            <w:r>
              <w:rPr>
                <w:rStyle w:val="CharStyle17"/>
              </w:rPr>
              <w:t>od</w:t>
            </w:r>
            <w:proofErr w:type="gramEnd"/>
            <w:r>
              <w:rPr>
                <w:rStyle w:val="CharStyle17"/>
              </w:rPr>
              <w:t xml:space="preserve"> 11.24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119" w:line="1" w:lineRule="exact"/>
      </w:pPr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805"/>
        </w:tabs>
        <w:spacing w:after="240"/>
      </w:pPr>
      <w:bookmarkStart w:id="64" w:name="bookmark107"/>
      <w:r>
        <w:rPr>
          <w:rStyle w:val="CharStyle30"/>
          <w:b/>
          <w:bCs/>
          <w:i/>
          <w:iCs/>
        </w:rPr>
        <w:t>Infrastruktura ICT pod systemy OT</w:t>
      </w:r>
      <w:bookmarkEnd w:id="64"/>
    </w:p>
    <w:p w:rsidR="0037407D" w:rsidRDefault="00C55295">
      <w:pPr>
        <w:pStyle w:val="Style32"/>
        <w:keepNext/>
        <w:keepLines/>
      </w:pPr>
      <w:bookmarkStart w:id="65" w:name="bookmark109"/>
      <w:r>
        <w:rPr>
          <w:rStyle w:val="CharStyle33"/>
        </w:rPr>
        <w:t>Dodatkowo dopuszcza się jako standardy dla infrastruktury ICT pod systemy OT:</w:t>
      </w:r>
      <w:bookmarkEnd w:id="6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7"/>
        <w:gridCol w:w="1344"/>
        <w:gridCol w:w="3014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Wersja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Veeam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11.</w:t>
            </w:r>
            <w:proofErr w:type="gramStart"/>
            <w:r>
              <w:rPr>
                <w:rStyle w:val="CharStyle17"/>
              </w:rPr>
              <w:t>x</w:t>
            </w:r>
            <w:proofErr w:type="gram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DataProtector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11.</w:t>
            </w:r>
            <w:proofErr w:type="gramStart"/>
            <w:r>
              <w:rPr>
                <w:rStyle w:val="CharStyle17"/>
              </w:rPr>
              <w:t>x</w:t>
            </w:r>
            <w:proofErr w:type="gram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Veritas </w:t>
            </w:r>
            <w:proofErr w:type="spellStart"/>
            <w:r>
              <w:rPr>
                <w:rStyle w:val="CharStyle17"/>
              </w:rPr>
              <w:t>NetBackup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9.</w:t>
            </w:r>
            <w:proofErr w:type="gramStart"/>
            <w:r>
              <w:rPr>
                <w:rStyle w:val="CharStyle17"/>
              </w:rPr>
              <w:t>x</w:t>
            </w:r>
            <w:proofErr w:type="gram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Quest </w:t>
            </w:r>
            <w:proofErr w:type="spellStart"/>
            <w:r>
              <w:rPr>
                <w:rStyle w:val="CharStyle17"/>
              </w:rPr>
              <w:t>LiteSpeed</w:t>
            </w:r>
            <w:proofErr w:type="spellEnd"/>
            <w:r>
              <w:rPr>
                <w:rStyle w:val="CharStyle17"/>
              </w:rPr>
              <w:t xml:space="preserve"> for SQL Server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8.0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Quest </w:t>
            </w:r>
            <w:proofErr w:type="spellStart"/>
            <w:r>
              <w:rPr>
                <w:rStyle w:val="CharStyle17"/>
              </w:rPr>
              <w:t>Recovery</w:t>
            </w:r>
            <w:proofErr w:type="spellEnd"/>
            <w:r>
              <w:rPr>
                <w:rStyle w:val="CharStyle17"/>
              </w:rPr>
              <w:t xml:space="preserve"> Manager for AD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Od 10.0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</w:tr>
    </w:tbl>
    <w:p w:rsidR="0037407D" w:rsidRDefault="0037407D">
      <w:pPr>
        <w:spacing w:after="71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58"/>
        </w:tabs>
      </w:pPr>
      <w:bookmarkStart w:id="66" w:name="bookmark112"/>
      <w:bookmarkStart w:id="67" w:name="bookmark111"/>
      <w:r>
        <w:rPr>
          <w:rStyle w:val="CharStyle3"/>
          <w:b/>
          <w:bCs/>
        </w:rPr>
        <w:t>Standardy dla systemów monitorowania</w:t>
      </w:r>
      <w:bookmarkEnd w:id="66"/>
      <w:bookmarkEnd w:id="67"/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790"/>
        </w:tabs>
        <w:spacing w:after="120"/>
      </w:pPr>
      <w:bookmarkStart w:id="68" w:name="bookmark114"/>
      <w:r>
        <w:rPr>
          <w:rStyle w:val="CharStyle30"/>
          <w:b/>
          <w:bCs/>
          <w:i/>
          <w:iCs/>
        </w:rPr>
        <w:t>Infrastruktura ICT pod systemy ICT</w:t>
      </w:r>
      <w:bookmarkEnd w:id="6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7"/>
        <w:gridCol w:w="1968"/>
        <w:gridCol w:w="4080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 monitorowania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  <w:jc w:val="both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Oracle Enterprise </w:t>
            </w:r>
            <w:r>
              <w:rPr>
                <w:rStyle w:val="CharStyle17"/>
              </w:rPr>
              <w:t xml:space="preserve">Manager </w:t>
            </w:r>
            <w:proofErr w:type="spellStart"/>
            <w:r>
              <w:rPr>
                <w:rStyle w:val="CharStyle17"/>
              </w:rPr>
              <w:t>Cloud</w:t>
            </w:r>
            <w:proofErr w:type="spellEnd"/>
            <w:r>
              <w:rPr>
                <w:rStyle w:val="CharStyle17"/>
              </w:rPr>
              <w:t xml:space="preserve"> Control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  <w:jc w:val="both"/>
            </w:pPr>
            <w:r>
              <w:rPr>
                <w:rStyle w:val="CharStyle17"/>
              </w:rPr>
              <w:t>Monitorowanie baz danych Oracle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IBM Tivoli </w:t>
            </w:r>
            <w:proofErr w:type="spellStart"/>
            <w:r>
              <w:rPr>
                <w:rStyle w:val="CharStyle17"/>
              </w:rPr>
              <w:t>NetCool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  <w:jc w:val="both"/>
            </w:pPr>
            <w:r>
              <w:rPr>
                <w:rStyle w:val="CharStyle17"/>
              </w:rPr>
              <w:t>Monitorowanie urządzeń sieciowych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Grafana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Monitorowanie łączy sieciowych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Graylog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Monitorowanie logów urządzeń sieciowych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Nagios</w:t>
            </w:r>
            <w:proofErr w:type="spellEnd"/>
            <w:r>
              <w:rPr>
                <w:rStyle w:val="CharStyle17"/>
              </w:rPr>
              <w:t xml:space="preserve"> (</w:t>
            </w:r>
            <w:proofErr w:type="spellStart"/>
            <w:r>
              <w:rPr>
                <w:rStyle w:val="CharStyle17"/>
              </w:rPr>
              <w:t>check_mk</w:t>
            </w:r>
            <w:proofErr w:type="spellEnd"/>
            <w:r>
              <w:rPr>
                <w:rStyle w:val="CharStyle17"/>
              </w:rPr>
              <w:t>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Monitorowanie wszystkich pozostałych komponentów infrastrukturalnych</w:t>
            </w:r>
          </w:p>
        </w:tc>
      </w:tr>
    </w:tbl>
    <w:p w:rsidR="0037407D" w:rsidRDefault="00C55295">
      <w:pPr>
        <w:spacing w:line="1" w:lineRule="exact"/>
        <w:rPr>
          <w:sz w:val="2"/>
          <w:szCs w:val="2"/>
        </w:rPr>
      </w:pPr>
      <w:r>
        <w:br w:type="page"/>
      </w:r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805"/>
        </w:tabs>
        <w:spacing w:after="260"/>
      </w:pPr>
      <w:bookmarkStart w:id="69" w:name="bookmark116"/>
      <w:r>
        <w:rPr>
          <w:rStyle w:val="CharStyle30"/>
          <w:b/>
          <w:bCs/>
          <w:i/>
          <w:iCs/>
        </w:rPr>
        <w:lastRenderedPageBreak/>
        <w:t>Infrastruktura ICT pod systemy OT</w:t>
      </w:r>
      <w:bookmarkEnd w:id="69"/>
    </w:p>
    <w:p w:rsidR="0037407D" w:rsidRDefault="00C55295">
      <w:pPr>
        <w:pStyle w:val="Style32"/>
        <w:keepNext/>
        <w:keepLines/>
        <w:spacing w:after="260"/>
      </w:pPr>
      <w:bookmarkStart w:id="70" w:name="bookmark118"/>
      <w:r>
        <w:rPr>
          <w:rStyle w:val="CharStyle33"/>
        </w:rPr>
        <w:t>Dodatkowo dopuszcza się jako standardy dla infrastruktury ICT pod systemy OT:</w:t>
      </w:r>
      <w:bookmarkEnd w:id="7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7"/>
        <w:gridCol w:w="1968"/>
        <w:gridCol w:w="4080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 monitorowania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Zabbix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Monitorowanie infrastruktury serwerowej systemów klasy OT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Quest </w:t>
            </w:r>
            <w:proofErr w:type="spellStart"/>
            <w:r>
              <w:rPr>
                <w:rStyle w:val="CharStyle17"/>
              </w:rPr>
              <w:t>Spotlight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Monitorowanie i zarządzania bazami danych systemów klasy OT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Quest Active Administrator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Monitorowanie MS Active Directory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NMS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Monitorowanie urządzeń</w:t>
            </w:r>
            <w:r>
              <w:rPr>
                <w:rStyle w:val="CharStyle17"/>
              </w:rPr>
              <w:t xml:space="preserve"> sieci MPLS w sieciach OT</w:t>
            </w:r>
          </w:p>
        </w:tc>
      </w:tr>
    </w:tbl>
    <w:p w:rsidR="0037407D" w:rsidRDefault="0037407D">
      <w:pPr>
        <w:spacing w:after="259" w:line="1" w:lineRule="exact"/>
      </w:pPr>
    </w:p>
    <w:p w:rsidR="0037407D" w:rsidRDefault="00C55295">
      <w:pPr>
        <w:pStyle w:val="Style2"/>
        <w:keepNext/>
        <w:keepLines/>
        <w:numPr>
          <w:ilvl w:val="1"/>
          <w:numId w:val="4"/>
        </w:numPr>
        <w:tabs>
          <w:tab w:val="left" w:pos="682"/>
        </w:tabs>
        <w:spacing w:after="100"/>
      </w:pPr>
      <w:bookmarkStart w:id="71" w:name="bookmark121"/>
      <w:bookmarkStart w:id="72" w:name="bookmark120"/>
      <w:r>
        <w:rPr>
          <w:rStyle w:val="CharStyle3"/>
          <w:b/>
          <w:bCs/>
        </w:rPr>
        <w:t>Standardy dla systemów zarządzania infrastrukturą IT</w:t>
      </w:r>
      <w:bookmarkEnd w:id="71"/>
      <w:bookmarkEnd w:id="72"/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790"/>
        </w:tabs>
        <w:spacing w:after="100"/>
      </w:pPr>
      <w:bookmarkStart w:id="73" w:name="bookmark123"/>
      <w:r>
        <w:rPr>
          <w:rStyle w:val="CharStyle30"/>
          <w:b/>
          <w:bCs/>
          <w:i/>
          <w:iCs/>
        </w:rPr>
        <w:t>Infrastruktura ICT pod systemy ICT</w:t>
      </w:r>
      <w:bookmarkEnd w:id="7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1973"/>
        <w:gridCol w:w="4075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 zarządzania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Micro Focus Universal CMDB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Automatyczne wykrywanie i zarzadzanie </w:t>
            </w:r>
            <w:r>
              <w:rPr>
                <w:rStyle w:val="CharStyle17"/>
              </w:rPr>
              <w:t>elementami konfiguracji infrastruktury IT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Microsoft System Center </w:t>
            </w:r>
            <w:proofErr w:type="spellStart"/>
            <w:r>
              <w:rPr>
                <w:rStyle w:val="CharStyle17"/>
              </w:rPr>
              <w:t>Configuration</w:t>
            </w:r>
            <w:proofErr w:type="spellEnd"/>
            <w:r>
              <w:rPr>
                <w:rStyle w:val="CharStyle17"/>
              </w:rPr>
              <w:t xml:space="preserve"> Manager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serwerami MS Windows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HPE </w:t>
            </w:r>
            <w:proofErr w:type="spellStart"/>
            <w:r>
              <w:rPr>
                <w:rStyle w:val="CharStyle17"/>
              </w:rPr>
              <w:t>OneView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infrastrukturą IT firmy HPE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Cisco UCS Central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Zarządzanie infrastrukturą Cisco UCS </w:t>
            </w:r>
            <w:r>
              <w:rPr>
                <w:rStyle w:val="CharStyle17"/>
              </w:rPr>
              <w:t>Blade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Brocade</w:t>
            </w:r>
            <w:proofErr w:type="spellEnd"/>
            <w:r>
              <w:rPr>
                <w:rStyle w:val="CharStyle17"/>
              </w:rPr>
              <w:t xml:space="preserve"> Network Advisor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urządzeniami sieci SAN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Palo</w:t>
            </w:r>
            <w:proofErr w:type="spellEnd"/>
            <w:r>
              <w:rPr>
                <w:rStyle w:val="CharStyle17"/>
              </w:rPr>
              <w:t xml:space="preserve"> </w:t>
            </w:r>
            <w:proofErr w:type="spellStart"/>
            <w:r>
              <w:rPr>
                <w:rStyle w:val="CharStyle17"/>
              </w:rPr>
              <w:t>Alto</w:t>
            </w:r>
            <w:proofErr w:type="spellEnd"/>
            <w:r>
              <w:rPr>
                <w:rStyle w:val="CharStyle17"/>
              </w:rPr>
              <w:t xml:space="preserve"> Panorama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Zarządzanie urządzeniami firmy </w:t>
            </w:r>
            <w:proofErr w:type="spellStart"/>
            <w:r>
              <w:rPr>
                <w:rStyle w:val="CharStyle17"/>
              </w:rPr>
              <w:t>Palo</w:t>
            </w:r>
            <w:proofErr w:type="spellEnd"/>
            <w:r>
              <w:rPr>
                <w:rStyle w:val="CharStyle17"/>
              </w:rPr>
              <w:t xml:space="preserve"> </w:t>
            </w:r>
            <w:proofErr w:type="spellStart"/>
            <w:r>
              <w:rPr>
                <w:rStyle w:val="CharStyle17"/>
              </w:rPr>
              <w:t>Alto</w:t>
            </w:r>
            <w:proofErr w:type="spellEnd"/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F5 </w:t>
            </w:r>
            <w:proofErr w:type="spellStart"/>
            <w:r>
              <w:rPr>
                <w:rStyle w:val="CharStyle17"/>
              </w:rPr>
              <w:t>Biq</w:t>
            </w:r>
            <w:proofErr w:type="spellEnd"/>
            <w:r>
              <w:rPr>
                <w:rStyle w:val="CharStyle17"/>
              </w:rPr>
              <w:t>-IQ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urządzeniami firmy F5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Tufin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politykami bezpieczeństwa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NetBox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Aktywny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przestrzenią kolokacyjną oraz połączeniami</w:t>
            </w:r>
          </w:p>
        </w:tc>
      </w:tr>
    </w:tbl>
    <w:p w:rsidR="0037407D" w:rsidRDefault="0037407D">
      <w:pPr>
        <w:spacing w:after="99" w:line="1" w:lineRule="exact"/>
      </w:pPr>
    </w:p>
    <w:p w:rsidR="0037407D" w:rsidRDefault="00C55295">
      <w:pPr>
        <w:pStyle w:val="Style29"/>
        <w:keepNext/>
        <w:keepLines/>
        <w:numPr>
          <w:ilvl w:val="2"/>
          <w:numId w:val="4"/>
        </w:numPr>
        <w:tabs>
          <w:tab w:val="left" w:pos="805"/>
        </w:tabs>
        <w:spacing w:after="260"/>
      </w:pPr>
      <w:bookmarkStart w:id="74" w:name="bookmark125"/>
      <w:r>
        <w:rPr>
          <w:rStyle w:val="CharStyle30"/>
          <w:b/>
          <w:bCs/>
          <w:i/>
          <w:iCs/>
        </w:rPr>
        <w:t>Infrastruktura ICT pod systemy OT</w:t>
      </w:r>
      <w:bookmarkEnd w:id="74"/>
    </w:p>
    <w:p w:rsidR="0037407D" w:rsidRDefault="00C55295">
      <w:pPr>
        <w:pStyle w:val="Style32"/>
        <w:keepNext/>
        <w:keepLines/>
        <w:spacing w:after="260"/>
      </w:pPr>
      <w:bookmarkStart w:id="75" w:name="bookmark127"/>
      <w:r>
        <w:rPr>
          <w:rStyle w:val="CharStyle33"/>
        </w:rPr>
        <w:t>Dodatkowo dopuszcza się jako standardy dla infrastruktury ICT pod systemy OT:</w:t>
      </w:r>
      <w:bookmarkEnd w:id="7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1973"/>
        <w:gridCol w:w="4075"/>
      </w:tblGrid>
      <w:tr w:rsidR="0037407D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System zarządzania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Cykl życia standardu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  <w:b/>
                <w:bCs/>
              </w:rPr>
              <w:t>Obszar stosowania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HPE Global </w:t>
            </w:r>
            <w:r>
              <w:rPr>
                <w:rStyle w:val="CharStyle17"/>
              </w:rPr>
              <w:t>Dashboard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37407D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infrastrukturą IT firmy HPE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Dell </w:t>
            </w:r>
            <w:proofErr w:type="spellStart"/>
            <w:r>
              <w:rPr>
                <w:rStyle w:val="CharStyle17"/>
              </w:rPr>
              <w:t>OpenManage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37407D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infrastrukturą IT firmy Dell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Fujitsu </w:t>
            </w:r>
            <w:proofErr w:type="spellStart"/>
            <w:r>
              <w:rPr>
                <w:rStyle w:val="CharStyle17"/>
              </w:rPr>
              <w:t>ServerView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37407D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infrastrukturą IT firmy Fujitsu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APC </w:t>
            </w:r>
            <w:proofErr w:type="spellStart"/>
            <w:r>
              <w:rPr>
                <w:rStyle w:val="CharStyle17"/>
              </w:rPr>
              <w:t>PowerChute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37407D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infrastrukturą zasilania firmy APC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Broadcom</w:t>
            </w:r>
            <w:proofErr w:type="spellEnd"/>
            <w:r>
              <w:rPr>
                <w:rStyle w:val="CharStyle17"/>
              </w:rPr>
              <w:t xml:space="preserve"> </w:t>
            </w:r>
            <w:proofErr w:type="spellStart"/>
            <w:r>
              <w:rPr>
                <w:rStyle w:val="CharStyle17"/>
              </w:rPr>
              <w:t>SANnav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407D" w:rsidRDefault="0037407D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>Zarządzanie urządzeniami sieci SAN w Systemach OT</w:t>
            </w:r>
          </w:p>
        </w:tc>
      </w:tr>
      <w:tr w:rsidR="0037407D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C55295">
            <w:pPr>
              <w:pStyle w:val="Style16"/>
            </w:pPr>
            <w:proofErr w:type="spellStart"/>
            <w:r>
              <w:rPr>
                <w:rStyle w:val="CharStyle17"/>
              </w:rPr>
              <w:t>Ivanti</w:t>
            </w:r>
            <w:proofErr w:type="spellEnd"/>
            <w:r>
              <w:rPr>
                <w:rStyle w:val="CharStyle17"/>
              </w:rPr>
              <w:t xml:space="preserve"> </w:t>
            </w:r>
            <w:proofErr w:type="spellStart"/>
            <w:r>
              <w:rPr>
                <w:rStyle w:val="CharStyle17"/>
              </w:rPr>
              <w:t>Endpoint</w:t>
            </w:r>
            <w:proofErr w:type="spellEnd"/>
            <w:r>
              <w:rPr>
                <w:rStyle w:val="CharStyle17"/>
              </w:rPr>
              <w:t xml:space="preserve"> Manager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07D" w:rsidRDefault="0037407D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7D" w:rsidRDefault="00C55295">
            <w:pPr>
              <w:pStyle w:val="Style16"/>
            </w:pPr>
            <w:r>
              <w:rPr>
                <w:rStyle w:val="CharStyle17"/>
              </w:rPr>
              <w:t xml:space="preserve">Zarządzanie stacjami roboczymi i terminalami </w:t>
            </w:r>
            <w:proofErr w:type="spellStart"/>
            <w:r>
              <w:rPr>
                <w:rStyle w:val="CharStyle17"/>
              </w:rPr>
              <w:t>syst</w:t>
            </w:r>
            <w:proofErr w:type="spellEnd"/>
            <w:r>
              <w:rPr>
                <w:rStyle w:val="CharStyle17"/>
              </w:rPr>
              <w:t>. OT</w:t>
            </w:r>
          </w:p>
        </w:tc>
      </w:tr>
    </w:tbl>
    <w:p w:rsidR="00C55295" w:rsidRDefault="00C55295"/>
    <w:sectPr w:rsidR="00C55295">
      <w:headerReference w:type="default" r:id="rId8"/>
      <w:footerReference w:type="default" r:id="rId9"/>
      <w:pgSz w:w="12240" w:h="16834"/>
      <w:pgMar w:top="2225" w:right="1007" w:bottom="1649" w:left="1167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295" w:rsidRDefault="00C55295">
      <w:r>
        <w:separator/>
      </w:r>
    </w:p>
  </w:endnote>
  <w:endnote w:type="continuationSeparator" w:id="0">
    <w:p w:rsidR="00C55295" w:rsidRDefault="00C5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07D" w:rsidRDefault="00C5529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762635</wp:posOffset>
              </wp:positionH>
              <wp:positionV relativeFrom="page">
                <wp:posOffset>9666605</wp:posOffset>
              </wp:positionV>
              <wp:extent cx="719455" cy="8255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945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7407D" w:rsidRDefault="00C55295">
                          <w:pPr>
                            <w:pStyle w:val="Style8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CharStyle9"/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844F9" w:rsidRPr="00C844F9">
                            <w:rPr>
                              <w:rStyle w:val="CharStyle9"/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Style w:val="CharStyle9"/>
                              <w:rFonts w:ascii="Arial" w:eastAsia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Style w:val="CharStyle9"/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 z 11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0.05pt;margin-top:761.15pt;width:56.65pt;height:6.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" filled="f" stroked="f">
              <v:textbox style="mso-fit-shape-to-text:t" inset="0,0,0,0">
                <w:txbxContent>
                  <w:p w:rsidR="0037407D" w:rsidRDefault="00C55295">
                    <w:pPr>
                      <w:pStyle w:val="Style8"/>
                      <w:rPr>
                        <w:sz w:val="18"/>
                        <w:szCs w:val="18"/>
                      </w:rPr>
                    </w:pPr>
                    <w:r>
                      <w:rPr>
                        <w:rStyle w:val="CharStyle9"/>
                        <w:rFonts w:ascii="Arial" w:eastAsia="Arial" w:hAnsi="Arial" w:cs="Arial"/>
                        <w:sz w:val="18"/>
                        <w:szCs w:val="18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844F9" w:rsidRPr="00C844F9">
                      <w:rPr>
                        <w:rStyle w:val="CharStyle9"/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11</w:t>
                    </w:r>
                    <w:r>
                      <w:rPr>
                        <w:rStyle w:val="CharStyle9"/>
                        <w:rFonts w:ascii="Arial" w:eastAsia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Style w:val="CharStyle9"/>
                        <w:rFonts w:ascii="Arial" w:eastAsia="Arial" w:hAnsi="Arial" w:cs="Arial"/>
                        <w:sz w:val="18"/>
                        <w:szCs w:val="18"/>
                      </w:rPr>
                      <w:t xml:space="preserve"> z 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295" w:rsidRDefault="00C55295"/>
  </w:footnote>
  <w:footnote w:type="continuationSeparator" w:id="0">
    <w:p w:rsidR="00C55295" w:rsidRDefault="00C552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07D" w:rsidRDefault="00C5529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925195</wp:posOffset>
              </wp:positionH>
              <wp:positionV relativeFrom="page">
                <wp:posOffset>486410</wp:posOffset>
              </wp:positionV>
              <wp:extent cx="1173480" cy="68262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3480" cy="6826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7407D" w:rsidRDefault="00C55295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1173480" cy="682625"/>
                                <wp:effectExtent l="0" t="0" r="0" b="0"/>
                                <wp:docPr id="10" name="Picutre 10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" name="Picture 10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1173480" cy="6826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_x0000_s1036" type="#_x0000_t202" style="position:absolute;margin-left:72.850000000000009pt;margin-top:38.300000000000004pt;width:92.400000000000006pt;height:53.75pt;z-index:-188744063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1173480" cy="682625"/>
                          <wp:docPr id="12" name="Picutre 12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" name="Picture 12"/>
                                  <pic:cNvPicPr/>
                                </pic:nvPicPr>
                                <pic:blipFill>
                                  <a:blip r:embed="rId2"/>
                                  <a:stretch/>
                                </pic:blipFill>
                                <pic:spPr>
                                  <a:xfrm>
                                    <a:ext cx="1173480" cy="68262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5738495</wp:posOffset>
              </wp:positionH>
              <wp:positionV relativeFrom="page">
                <wp:posOffset>544195</wp:posOffset>
              </wp:positionV>
              <wp:extent cx="1822450" cy="10668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245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7407D" w:rsidRDefault="0037407D">
                          <w:pPr>
                            <w:pStyle w:val="Style8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0" type="#_x0000_t202" style="position:absolute;margin-left:451.85pt;margin-top:42.85pt;width:143.5pt;height:8.4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" filled="f" stroked="f">
              <v:textbox style="mso-fit-shape-to-text:t" inset="0,0,0,0">
                <w:txbxContent>
                  <w:p w:rsidR="0037407D" w:rsidRDefault="0037407D">
                    <w:pPr>
                      <w:pStyle w:val="Style8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3896995</wp:posOffset>
              </wp:positionH>
              <wp:positionV relativeFrom="page">
                <wp:posOffset>1129665</wp:posOffset>
              </wp:positionV>
              <wp:extent cx="2816225" cy="12192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62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7407D" w:rsidRDefault="00C55295">
                          <w:pPr>
                            <w:pStyle w:val="Style8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9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CIO-STD-2022-04: Standardy infrastrukturalne ICT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1" type="#_x0000_t202" style="position:absolute;margin-left:306.85000000000002pt;margin-top:88.950000000000003pt;width:221.75pt;height:9.5999999999999996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9"/>
                        <w:rFonts w:ascii="Arial" w:eastAsia="Arial" w:hAnsi="Arial" w:cs="Arial"/>
                        <w:sz w:val="19"/>
                        <w:szCs w:val="19"/>
                      </w:rPr>
                      <w:t>CIO-STD-2022-04: Standardy infrastrukturalne ICT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C483F"/>
    <w:multiLevelType w:val="multilevel"/>
    <w:tmpl w:val="9652758C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49E18BD"/>
    <w:multiLevelType w:val="multilevel"/>
    <w:tmpl w:val="90161D8C"/>
    <w:lvl w:ilvl="0">
      <w:start w:val="2"/>
      <w:numFmt w:val="decimal"/>
      <w:lvlText w:val="%1"/>
      <w:lvlJc w:val="left"/>
    </w:lvl>
    <w:lvl w:ilvl="1">
      <w:start w:val="7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9E63580"/>
    <w:multiLevelType w:val="multilevel"/>
    <w:tmpl w:val="40E4DD0E"/>
    <w:lvl w:ilvl="0">
      <w:start w:val="2"/>
      <w:numFmt w:val="decimal"/>
      <w:lvlText w:val="%1"/>
      <w:lvlJc w:val="left"/>
    </w:lvl>
    <w:lvl w:ilvl="1">
      <w:start w:val="6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7C179D"/>
    <w:multiLevelType w:val="multilevel"/>
    <w:tmpl w:val="0ED8B92A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7D"/>
    <w:rsid w:val="0037407D"/>
    <w:rsid w:val="00C55295"/>
    <w:rsid w:val="00C8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8262FC-81F8-4930-88C6-457B9FE9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5">
    <w:name w:val="Char Style 5"/>
    <w:basedOn w:val="Domylnaczcionkaakapitu"/>
    <w:link w:val="Style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">
    <w:name w:val="Char Style 7"/>
    <w:basedOn w:val="Domylnaczcionkaakapitu"/>
    <w:link w:val="Style6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9">
    <w:name w:val="Char Style 9"/>
    <w:basedOn w:val="Domylnaczcionkaakapitu"/>
    <w:link w:val="Style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4">
    <w:name w:val="Char Style 14"/>
    <w:basedOn w:val="Domylnaczcionkaakapitu"/>
    <w:link w:val="Style13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harStyle17">
    <w:name w:val="Char Style 17"/>
    <w:basedOn w:val="Domylnaczcionkaakapitu"/>
    <w:link w:val="Style16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20">
    <w:name w:val="Char Style 20"/>
    <w:basedOn w:val="Domylnaczcionkaakapitu"/>
    <w:link w:val="Style19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22">
    <w:name w:val="Char Style 22"/>
    <w:basedOn w:val="Domylnaczcionkaakapitu"/>
    <w:link w:val="Style2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27">
    <w:name w:val="Char Style 27"/>
    <w:basedOn w:val="Domylnaczcionkaakapitu"/>
    <w:link w:val="Style26"/>
    <w:rPr>
      <w:rFonts w:ascii="Arial" w:eastAsia="Arial" w:hAnsi="Arial" w:cs="Arial"/>
      <w:b/>
      <w:bCs/>
      <w:i w:val="0"/>
      <w:iCs w:val="0"/>
      <w:smallCaps w:val="0"/>
      <w:strike w:val="0"/>
      <w:color w:val="365F91"/>
      <w:sz w:val="19"/>
      <w:szCs w:val="19"/>
      <w:u w:val="none"/>
    </w:rPr>
  </w:style>
  <w:style w:type="character" w:customStyle="1" w:styleId="CharStyle30">
    <w:name w:val="Char Style 30"/>
    <w:basedOn w:val="Domylnaczcionkaakapitu"/>
    <w:link w:val="Style29"/>
    <w:rPr>
      <w:rFonts w:ascii="Arial" w:eastAsia="Arial" w:hAnsi="Arial" w:cs="Arial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CharStyle33">
    <w:name w:val="Char Style 33"/>
    <w:basedOn w:val="Domylnaczcionkaakapitu"/>
    <w:link w:val="Style3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35">
    <w:name w:val="Char Style 35"/>
    <w:basedOn w:val="Domylnaczcionkaakapitu"/>
    <w:link w:val="Style34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Style2">
    <w:name w:val="Style 2"/>
    <w:basedOn w:val="Normalny"/>
    <w:link w:val="CharStyle3"/>
    <w:pPr>
      <w:spacing w:after="120"/>
      <w:outlineLvl w:val="2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4">
    <w:name w:val="Style 4"/>
    <w:basedOn w:val="Normalny"/>
    <w:link w:val="CharStyle5"/>
    <w:rPr>
      <w:sz w:val="20"/>
      <w:szCs w:val="20"/>
    </w:rPr>
  </w:style>
  <w:style w:type="paragraph" w:customStyle="1" w:styleId="Style6">
    <w:name w:val="Style 6"/>
    <w:basedOn w:val="Normalny"/>
    <w:link w:val="CharStyle7"/>
    <w:pPr>
      <w:spacing w:before="880" w:after="400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Style8">
    <w:name w:val="Style 8"/>
    <w:basedOn w:val="Normalny"/>
    <w:link w:val="CharStyle9"/>
    <w:rPr>
      <w:sz w:val="20"/>
      <w:szCs w:val="20"/>
    </w:rPr>
  </w:style>
  <w:style w:type="paragraph" w:customStyle="1" w:styleId="Style13">
    <w:name w:val="Style 13"/>
    <w:basedOn w:val="Normalny"/>
    <w:link w:val="CharStyle14"/>
    <w:pPr>
      <w:spacing w:line="290" w:lineRule="auto"/>
    </w:pPr>
    <w:rPr>
      <w:rFonts w:ascii="Arial" w:eastAsia="Arial" w:hAnsi="Arial" w:cs="Arial"/>
      <w:sz w:val="14"/>
      <w:szCs w:val="14"/>
    </w:rPr>
  </w:style>
  <w:style w:type="paragraph" w:customStyle="1" w:styleId="Style16">
    <w:name w:val="Style 16"/>
    <w:basedOn w:val="Normalny"/>
    <w:link w:val="CharStyle17"/>
    <w:rPr>
      <w:rFonts w:ascii="Arial" w:eastAsia="Arial" w:hAnsi="Arial" w:cs="Arial"/>
      <w:sz w:val="16"/>
      <w:szCs w:val="16"/>
    </w:rPr>
  </w:style>
  <w:style w:type="paragraph" w:customStyle="1" w:styleId="Style19">
    <w:name w:val="Style 19"/>
    <w:basedOn w:val="Normalny"/>
    <w:link w:val="CharStyle20"/>
    <w:pPr>
      <w:spacing w:after="220" w:line="295" w:lineRule="auto"/>
    </w:pPr>
    <w:rPr>
      <w:rFonts w:ascii="Arial" w:eastAsia="Arial" w:hAnsi="Arial" w:cs="Arial"/>
      <w:sz w:val="19"/>
      <w:szCs w:val="19"/>
    </w:rPr>
  </w:style>
  <w:style w:type="paragraph" w:customStyle="1" w:styleId="Style21">
    <w:name w:val="Style 21"/>
    <w:basedOn w:val="Normalny"/>
    <w:link w:val="CharStyle22"/>
    <w:pPr>
      <w:spacing w:after="240"/>
      <w:ind w:firstLine="280"/>
    </w:pPr>
    <w:rPr>
      <w:rFonts w:ascii="Arial" w:eastAsia="Arial" w:hAnsi="Arial" w:cs="Arial"/>
      <w:sz w:val="22"/>
      <w:szCs w:val="22"/>
    </w:rPr>
  </w:style>
  <w:style w:type="paragraph" w:customStyle="1" w:styleId="Style26">
    <w:name w:val="Style 26"/>
    <w:basedOn w:val="Normalny"/>
    <w:link w:val="CharStyle27"/>
    <w:pPr>
      <w:spacing w:after="360"/>
      <w:outlineLvl w:val="3"/>
    </w:pPr>
    <w:rPr>
      <w:rFonts w:ascii="Arial" w:eastAsia="Arial" w:hAnsi="Arial" w:cs="Arial"/>
      <w:b/>
      <w:bCs/>
      <w:color w:val="365F91"/>
      <w:sz w:val="19"/>
      <w:szCs w:val="19"/>
    </w:rPr>
  </w:style>
  <w:style w:type="paragraph" w:customStyle="1" w:styleId="Style29">
    <w:name w:val="Style 29"/>
    <w:basedOn w:val="Normalny"/>
    <w:link w:val="CharStyle30"/>
    <w:pPr>
      <w:spacing w:after="180"/>
      <w:outlineLvl w:val="1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Style32">
    <w:name w:val="Style 32"/>
    <w:basedOn w:val="Normalny"/>
    <w:link w:val="CharStyle33"/>
    <w:pPr>
      <w:spacing w:after="240"/>
      <w:outlineLvl w:val="4"/>
    </w:pPr>
    <w:rPr>
      <w:rFonts w:ascii="Arial" w:eastAsia="Arial" w:hAnsi="Arial" w:cs="Arial"/>
      <w:sz w:val="19"/>
      <w:szCs w:val="19"/>
    </w:rPr>
  </w:style>
  <w:style w:type="paragraph" w:customStyle="1" w:styleId="Style34">
    <w:name w:val="Style 34"/>
    <w:basedOn w:val="Normalny"/>
    <w:link w:val="CharStyle35"/>
    <w:pPr>
      <w:spacing w:after="220" w:line="293" w:lineRule="auto"/>
      <w:ind w:left="1440"/>
    </w:pPr>
    <w:rPr>
      <w:rFonts w:ascii="Arial" w:eastAsia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C844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44F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844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44F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E7D327DF5B4F94C0698BA54C5BF5" ma:contentTypeVersion="4" ma:contentTypeDescription="Utwórz nowy dokument." ma:contentTypeScope="" ma:versionID="d5c8668a9e85eed85ed817e235acca11">
  <xsd:schema xmlns:xsd="http://www.w3.org/2001/XMLSchema" xmlns:xs="http://www.w3.org/2001/XMLSchema" xmlns:p="http://schemas.microsoft.com/office/2006/metadata/properties" xmlns:ns2="b90e982c-f208-44bf-ab13-fe9d13607830" targetNamespace="http://schemas.microsoft.com/office/2006/metadata/properties" ma:root="true" ma:fieldsID="b5cb63fff72257c6092c0e683c761882" ns2:_="">
    <xsd:import namespace="b90e982c-f208-44bf-ab13-fe9d136078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e982c-f208-44bf-ab13-fe9d136078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CC0A21-76CD-44F3-B338-CBFC10C29901}"/>
</file>

<file path=customXml/itemProps2.xml><?xml version="1.0" encoding="utf-8"?>
<ds:datastoreItem xmlns:ds="http://schemas.openxmlformats.org/officeDocument/2006/customXml" ds:itemID="{3FAC96CC-9BCB-4300-B79B-5873D228AD66}"/>
</file>

<file path=customXml/itemProps3.xml><?xml version="1.0" encoding="utf-8"?>
<ds:datastoreItem xmlns:ds="http://schemas.openxmlformats.org/officeDocument/2006/customXml" ds:itemID="{355CCCAC-113E-4B03-AA6D-17BE61B34B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2688</Words>
  <Characters>16132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CIO-STD-2022-04</vt:lpstr>
    </vt:vector>
  </TitlesOfParts>
  <Company>PGE Systemy</Company>
  <LinksUpToDate>false</LinksUpToDate>
  <CharactersWithSpaces>18783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CIO-STD-2022-04</dc:title>
  <dc:subject>Standardy infrastrukturalne ICT</dc:subject>
  <dc:creator>krzysztof_wdowiak@gkpge.pl</dc:creator>
  <cp:keywords/>
  <cp:lastModifiedBy>Skupień Wojciech [PGE EC S.A.]</cp:lastModifiedBy>
  <cp:revision>2</cp:revision>
  <cp:lastPrinted>2025-02-07T12:40:00Z</cp:lastPrinted>
  <dcterms:created xsi:type="dcterms:W3CDTF">2025-02-07T12:38:00Z</dcterms:created>
  <dcterms:modified xsi:type="dcterms:W3CDTF">2025-02-07T12:40:00Z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0x010100DD9BE7D327DF5B4F94C0698BA54C5BF5</vt:lpwstr>
  </property>
</Properties>
</file>