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4B7437ED" w:rsidR="002965D7" w:rsidRPr="00C051DD" w:rsidRDefault="00C051DD" w:rsidP="002965D7">
            <w:pPr>
              <w:rPr>
                <w:rFonts w:ascii="Calibri" w:hAnsi="Calibri" w:cs="Arial"/>
                <w:sz w:val="20"/>
              </w:rPr>
            </w:pPr>
            <w:r w:rsidRPr="00C051DD">
              <w:rPr>
                <w:rFonts w:ascii="Calibri" w:hAnsi="Calibri" w:cs="Arial"/>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22C7BC4F" w:rsidR="002965D7" w:rsidRPr="0079103F" w:rsidRDefault="00C051DD" w:rsidP="00C051DD">
            <w:pPr>
              <w:outlineLvl w:val="0"/>
              <w:rPr>
                <w:rFonts w:ascii="Calibri" w:hAnsi="Calibri" w:cs="Arial"/>
                <w:i/>
                <w:sz w:val="20"/>
              </w:rPr>
            </w:pPr>
            <w:r w:rsidRPr="00C051DD">
              <w:rPr>
                <w:rFonts w:ascii="Calibri" w:hAnsi="Calibri" w:cs="Arial"/>
                <w:sz w:val="20"/>
              </w:rPr>
              <w:t xml:space="preserve">„Prace czyszczeniowo-eksploatacyjne na układach technologicznych: Bloku </w:t>
            </w:r>
            <w:r>
              <w:rPr>
                <w:rFonts w:ascii="Calibri" w:hAnsi="Calibri" w:cs="Arial"/>
                <w:sz w:val="20"/>
              </w:rPr>
              <w:t xml:space="preserve">Gazowo-Parowego /BGP/, Kotłowni </w:t>
            </w:r>
            <w:r w:rsidRPr="00C051DD">
              <w:rPr>
                <w:rFonts w:ascii="Calibri" w:hAnsi="Calibri" w:cs="Arial"/>
                <w:sz w:val="20"/>
              </w:rPr>
              <w:t>Rezerwowo-Szczytowej /KRS/, Stacji Uzdatniania Wody /SUW/ na terenie PGE EC S.A. Oddział Elektrociepłownia w Lublinie Wrotków”</w:t>
            </w:r>
            <w:r w:rsidRPr="00C051DD">
              <w:rPr>
                <w:rFonts w:ascii="Calibri" w:hAnsi="Calibri" w:cs="Arial"/>
                <w:i/>
                <w:sz w:val="20"/>
              </w:rPr>
              <w:t xml:space="preserve">    </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326F2A15" w:rsidR="002965D7" w:rsidRPr="00A217E6" w:rsidRDefault="002B2227" w:rsidP="002965D7">
            <w:pPr>
              <w:rPr>
                <w:rFonts w:ascii="Calibri" w:hAnsi="Calibri" w:cs="Arial"/>
                <w:sz w:val="20"/>
              </w:rPr>
            </w:pPr>
            <w:r w:rsidRPr="002B2227">
              <w:rPr>
                <w:rFonts w:ascii="Calibri" w:hAnsi="Calibri" w:cs="Arial"/>
                <w:sz w:val="20"/>
              </w:rPr>
              <w:t>POST/PEC/PEC/UZI/01090/2024</w:t>
            </w:r>
            <w:bookmarkStart w:id="1" w:name="_GoBack"/>
            <w:bookmarkEnd w:id="1"/>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jaki jest odpowiedni odsetek pracowników niepełnosprawnych lub defaworyzowanych?</w:t>
            </w:r>
            <w:r w:rsidRPr="002C20E7">
              <w:rPr>
                <w:rFonts w:ascii="Calibri" w:hAnsi="Calibri" w:cs="Arial"/>
                <w:sz w:val="20"/>
                <w:szCs w:val="20"/>
              </w:rPr>
              <w:br/>
              <w:t>Jeżeli jest to wymagane, proszę określić, do której kategorii lub których kategorii pracowników niepełnosprawnych lub defaworyzowanych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lastRenderedPageBreak/>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lastRenderedPageBreak/>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1DC24824" w:rsidR="002965D7" w:rsidRPr="002C20E7" w:rsidRDefault="002965D7" w:rsidP="00C051DD">
      <w:p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w:t>
      </w:r>
      <w:r w:rsidR="00C051DD">
        <w:rPr>
          <w:rFonts w:ascii="Calibri" w:hAnsi="Calibri" w:cs="Arial"/>
          <w:sz w:val="20"/>
        </w:rPr>
        <w:t xml:space="preserve">ł się zwrócić o wykonanie robót </w:t>
      </w:r>
      <w:r w:rsidRPr="002C20E7">
        <w:rPr>
          <w:rFonts w:ascii="Calibri" w:hAnsi="Calibri" w:cs="Arial"/>
          <w:sz w:val="20"/>
        </w:rPr>
        <w:t xml:space="preserve">budowlanych. </w:t>
      </w:r>
      <w:r w:rsidRPr="002C20E7">
        <w:rPr>
          <w:rFonts w:ascii="Calibri" w:hAnsi="Calibri" w:cs="Arial"/>
          <w:sz w:val="20"/>
        </w:rPr>
        <w:br/>
      </w:r>
      <w:r w:rsidRPr="002C20E7">
        <w:rPr>
          <w:rFonts w:ascii="Calibri" w:hAnsi="Calibri" w:cs="Arial"/>
          <w:sz w:val="20"/>
        </w:rPr>
        <w:lastRenderedPageBreak/>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C051DD">
            <w:pPr>
              <w:jc w:val="left"/>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którego(-ych) to dotyczy.</w:t>
            </w:r>
          </w:p>
          <w:p w14:paraId="5E396E6C" w14:textId="77777777" w:rsidR="002965D7" w:rsidRPr="002C20E7" w:rsidRDefault="002965D7" w:rsidP="00C051DD">
            <w:pPr>
              <w:jc w:val="left"/>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C051DD">
            <w:pPr>
              <w:jc w:val="left"/>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xml:space="preserve">, zarówno w </w:t>
            </w:r>
            <w:r w:rsidRPr="002C20E7">
              <w:rPr>
                <w:rFonts w:ascii="Calibri" w:hAnsi="Calibri" w:cs="Arial"/>
                <w:sz w:val="20"/>
              </w:rPr>
              <w:lastRenderedPageBreak/>
              <w:t>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C051DD">
            <w:pPr>
              <w:jc w:val="left"/>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C051DD">
            <w:pPr>
              <w:pStyle w:val="Tiret0"/>
              <w:jc w:val="left"/>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C051DD">
            <w:pPr>
              <w:pStyle w:val="Tiret0"/>
              <w:numPr>
                <w:ilvl w:val="0"/>
                <w:numId w:val="0"/>
              </w:numPr>
              <w:jc w:val="left"/>
              <w:rPr>
                <w:rFonts w:ascii="Calibri" w:hAnsi="Calibri" w:cs="Arial"/>
                <w:sz w:val="20"/>
                <w:szCs w:val="20"/>
              </w:rPr>
            </w:pPr>
          </w:p>
          <w:p w14:paraId="48D5B5D9" w14:textId="77777777" w:rsidR="002965D7" w:rsidRPr="002C20E7" w:rsidRDefault="002965D7" w:rsidP="00C051DD">
            <w:pPr>
              <w:jc w:val="left"/>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C051DD">
            <w:pPr>
              <w:jc w:val="left"/>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C051DD">
            <w:pPr>
              <w:jc w:val="left"/>
              <w:rPr>
                <w:rFonts w:ascii="Calibri" w:hAnsi="Calibri" w:cs="Arial"/>
                <w:w w:val="0"/>
                <w:sz w:val="20"/>
              </w:rPr>
            </w:pPr>
          </w:p>
          <w:p w14:paraId="66FFC90E" w14:textId="77777777" w:rsidR="002965D7" w:rsidRPr="002C20E7" w:rsidRDefault="002965D7" w:rsidP="00C051DD">
            <w:pPr>
              <w:jc w:val="left"/>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C051DD">
            <w:pPr>
              <w:jc w:val="left"/>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C051DD">
            <w:pPr>
              <w:jc w:val="left"/>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C051DD">
            <w:pPr>
              <w:jc w:val="left"/>
              <w:rPr>
                <w:rFonts w:ascii="Calibri" w:hAnsi="Calibri" w:cs="Arial"/>
                <w:sz w:val="20"/>
              </w:rPr>
            </w:pPr>
          </w:p>
          <w:p w14:paraId="577A4A16" w14:textId="77777777" w:rsidR="002965D7" w:rsidRPr="002C20E7" w:rsidRDefault="002965D7" w:rsidP="00C051DD">
            <w:pPr>
              <w:jc w:val="left"/>
              <w:rPr>
                <w:rFonts w:ascii="Calibri" w:hAnsi="Calibri" w:cs="Arial"/>
                <w:sz w:val="20"/>
              </w:rPr>
            </w:pPr>
          </w:p>
          <w:p w14:paraId="09791732"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C051DD">
            <w:pPr>
              <w:pStyle w:val="Tiret0"/>
              <w:numPr>
                <w:ilvl w:val="0"/>
                <w:numId w:val="78"/>
              </w:numPr>
              <w:jc w:val="left"/>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C051DD">
            <w:pPr>
              <w:pStyle w:val="Tiret0"/>
              <w:numPr>
                <w:ilvl w:val="0"/>
                <w:numId w:val="0"/>
              </w:numPr>
              <w:ind w:left="850"/>
              <w:jc w:val="left"/>
              <w:rPr>
                <w:rFonts w:ascii="Calibri" w:hAnsi="Calibri" w:cs="Arial"/>
                <w:sz w:val="20"/>
                <w:szCs w:val="20"/>
              </w:rPr>
            </w:pPr>
          </w:p>
          <w:p w14:paraId="28540454" w14:textId="77777777" w:rsidR="002965D7" w:rsidRPr="002C20E7" w:rsidRDefault="002965D7" w:rsidP="00C051DD">
            <w:pPr>
              <w:jc w:val="left"/>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C051DD">
            <w:pPr>
              <w:jc w:val="left"/>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C051DD">
            <w:pPr>
              <w:jc w:val="left"/>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C051DD">
            <w:pPr>
              <w:jc w:val="left"/>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 xml:space="preserve">c) jest w stanie niezwłocznie przedstawić dokumenty potwierdzające wymagane przez instytucję </w:t>
            </w:r>
            <w:r w:rsidRPr="002C20E7">
              <w:rPr>
                <w:rFonts w:ascii="Calibri" w:hAnsi="Calibri" w:cs="Arial"/>
                <w:sz w:val="20"/>
                <w:szCs w:val="20"/>
              </w:rPr>
              <w:lastRenderedPageBreak/>
              <w:t>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C051DD">
            <w:pPr>
              <w:jc w:val="left"/>
              <w:rPr>
                <w:rFonts w:ascii="Calibri" w:hAnsi="Calibri" w:cs="Arial"/>
                <w:sz w:val="20"/>
              </w:rPr>
            </w:pPr>
            <w:r w:rsidRPr="002C20E7">
              <w:rPr>
                <w:rFonts w:ascii="Calibri" w:hAnsi="Calibri" w:cs="Arial"/>
                <w:sz w:val="20"/>
              </w:rPr>
              <w:lastRenderedPageBreak/>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C051DD">
            <w:pPr>
              <w:jc w:val="left"/>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C051DD">
            <w:pPr>
              <w:jc w:val="left"/>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C051DD">
            <w:pPr>
              <w:jc w:val="left"/>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C051DD">
            <w:pPr>
              <w:jc w:val="left"/>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C051DD">
            <w:pPr>
              <w:jc w:val="left"/>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w:t>
            </w:r>
            <w:r w:rsidRPr="002C20E7">
              <w:rPr>
                <w:rFonts w:ascii="Calibri" w:hAnsi="Calibri" w:cs="Arial"/>
                <w:sz w:val="20"/>
              </w:rPr>
              <w:lastRenderedPageBreak/>
              <w:t>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C051DD">
            <w:pPr>
              <w:jc w:val="left"/>
              <w:rPr>
                <w:rFonts w:ascii="Calibri" w:hAnsi="Calibri" w:cs="Arial"/>
                <w:sz w:val="20"/>
              </w:rPr>
            </w:pPr>
            <w:r w:rsidRPr="00A217E6">
              <w:rPr>
                <w:rFonts w:ascii="Calibri" w:hAnsi="Calibri" w:cs="Arial"/>
                <w:sz w:val="20"/>
              </w:rPr>
              <w:lastRenderedPageBreak/>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lastRenderedPageBreak/>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wymaganego(-ych)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C051DD">
            <w:pPr>
              <w:jc w:val="left"/>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C051DD">
            <w:pPr>
              <w:jc w:val="left"/>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C051DD">
            <w:pPr>
              <w:jc w:val="left"/>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C051DD">
            <w:pPr>
              <w:jc w:val="left"/>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C051DD">
            <w:pPr>
              <w:jc w:val="left"/>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C051DD">
                  <w:pPr>
                    <w:jc w:val="left"/>
                    <w:rPr>
                      <w:rFonts w:ascii="Calibri" w:hAnsi="Calibri" w:cs="Arial"/>
                      <w:sz w:val="20"/>
                    </w:rPr>
                  </w:pPr>
                </w:p>
              </w:tc>
              <w:tc>
                <w:tcPr>
                  <w:tcW w:w="936" w:type="dxa"/>
                  <w:shd w:val="clear" w:color="auto" w:fill="auto"/>
                </w:tcPr>
                <w:p w14:paraId="31B46526" w14:textId="0BB6EC19" w:rsidR="002965D7" w:rsidRPr="00024FFE" w:rsidRDefault="002965D7" w:rsidP="00C051DD">
                  <w:pPr>
                    <w:jc w:val="left"/>
                    <w:rPr>
                      <w:rFonts w:ascii="Calibri" w:hAnsi="Calibri" w:cs="Arial"/>
                      <w:sz w:val="20"/>
                    </w:rPr>
                  </w:pPr>
                </w:p>
              </w:tc>
              <w:tc>
                <w:tcPr>
                  <w:tcW w:w="724" w:type="dxa"/>
                  <w:shd w:val="clear" w:color="auto" w:fill="auto"/>
                </w:tcPr>
                <w:p w14:paraId="7099208B" w14:textId="038C341B" w:rsidR="002965D7" w:rsidRPr="002C20E7" w:rsidRDefault="002965D7" w:rsidP="00C051DD">
                  <w:pPr>
                    <w:jc w:val="left"/>
                    <w:rPr>
                      <w:rFonts w:ascii="Calibri" w:hAnsi="Calibri" w:cs="Arial"/>
                      <w:sz w:val="20"/>
                    </w:rPr>
                  </w:pPr>
                </w:p>
              </w:tc>
              <w:tc>
                <w:tcPr>
                  <w:tcW w:w="1149" w:type="dxa"/>
                  <w:shd w:val="clear" w:color="auto" w:fill="auto"/>
                </w:tcPr>
                <w:p w14:paraId="3D82681C" w14:textId="34B7AC0D" w:rsidR="002965D7" w:rsidRPr="002C20E7" w:rsidRDefault="002965D7" w:rsidP="00C051DD">
                  <w:pPr>
                    <w:jc w:val="left"/>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C051DD">
                  <w:pPr>
                    <w:jc w:val="left"/>
                    <w:rPr>
                      <w:rFonts w:ascii="Calibri" w:hAnsi="Calibri" w:cs="Arial"/>
                      <w:sz w:val="20"/>
                    </w:rPr>
                  </w:pPr>
                </w:p>
              </w:tc>
              <w:tc>
                <w:tcPr>
                  <w:tcW w:w="936" w:type="dxa"/>
                  <w:shd w:val="clear" w:color="auto" w:fill="auto"/>
                </w:tcPr>
                <w:p w14:paraId="4CA022EC" w14:textId="77777777" w:rsidR="002965D7" w:rsidRPr="002C20E7" w:rsidRDefault="002965D7" w:rsidP="00C051DD">
                  <w:pPr>
                    <w:jc w:val="left"/>
                    <w:rPr>
                      <w:rFonts w:ascii="Calibri" w:hAnsi="Calibri" w:cs="Arial"/>
                      <w:sz w:val="20"/>
                    </w:rPr>
                  </w:pPr>
                </w:p>
              </w:tc>
              <w:tc>
                <w:tcPr>
                  <w:tcW w:w="724" w:type="dxa"/>
                  <w:shd w:val="clear" w:color="auto" w:fill="auto"/>
                </w:tcPr>
                <w:p w14:paraId="3668940C" w14:textId="77777777" w:rsidR="002965D7" w:rsidRPr="002C20E7" w:rsidRDefault="002965D7" w:rsidP="00C051DD">
                  <w:pPr>
                    <w:jc w:val="left"/>
                    <w:rPr>
                      <w:rFonts w:ascii="Calibri" w:hAnsi="Calibri" w:cs="Arial"/>
                      <w:sz w:val="20"/>
                    </w:rPr>
                  </w:pPr>
                </w:p>
              </w:tc>
              <w:tc>
                <w:tcPr>
                  <w:tcW w:w="1149" w:type="dxa"/>
                  <w:shd w:val="clear" w:color="auto" w:fill="auto"/>
                </w:tcPr>
                <w:p w14:paraId="650461CE" w14:textId="77777777" w:rsidR="002965D7" w:rsidRPr="002C20E7" w:rsidRDefault="002965D7" w:rsidP="00C051DD">
                  <w:pPr>
                    <w:jc w:val="left"/>
                    <w:rPr>
                      <w:rFonts w:ascii="Calibri" w:hAnsi="Calibri" w:cs="Arial"/>
                      <w:sz w:val="20"/>
                    </w:rPr>
                  </w:pPr>
                </w:p>
              </w:tc>
            </w:tr>
          </w:tbl>
          <w:p w14:paraId="64F24229" w14:textId="77777777" w:rsidR="002965D7" w:rsidRPr="002C20E7" w:rsidRDefault="002965D7" w:rsidP="00C051DD">
            <w:pPr>
              <w:jc w:val="left"/>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C051DD">
            <w:pPr>
              <w:jc w:val="left"/>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C051DD">
            <w:pPr>
              <w:jc w:val="left"/>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C051DD">
            <w:pPr>
              <w:jc w:val="left"/>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C051DD">
            <w:pPr>
              <w:jc w:val="left"/>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C051DD">
            <w:pPr>
              <w:jc w:val="left"/>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C051DD">
            <w:pPr>
              <w:jc w:val="left"/>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r>
            <w:r w:rsidRPr="002C20E7">
              <w:rPr>
                <w:rFonts w:ascii="Calibri" w:hAnsi="Calibri" w:cs="Arial"/>
                <w:sz w:val="20"/>
              </w:rPr>
              <w:lastRenderedPageBreak/>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C051DD">
            <w:pPr>
              <w:jc w:val="left"/>
              <w:rPr>
                <w:rFonts w:ascii="Calibri" w:hAnsi="Calibri" w:cs="Arial"/>
                <w:sz w:val="20"/>
              </w:rPr>
            </w:pPr>
            <w:r w:rsidRPr="002C20E7">
              <w:rPr>
                <w:rFonts w:ascii="Calibri" w:hAnsi="Calibri" w:cs="Arial"/>
                <w:sz w:val="20"/>
              </w:rPr>
              <w:lastRenderedPageBreak/>
              <w:br/>
              <w:t>[] Tak [] Nie</w:t>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lastRenderedPageBreak/>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C051DD">
            <w:pPr>
              <w:jc w:val="left"/>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C051DD">
            <w:pPr>
              <w:jc w:val="left"/>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 xml:space="preserve">(adres internetowy, wydający urząd lub organ, </w:t>
            </w:r>
            <w:r w:rsidRPr="002C20E7">
              <w:rPr>
                <w:rFonts w:ascii="Calibri" w:hAnsi="Calibri" w:cs="Arial"/>
                <w:sz w:val="20"/>
              </w:rPr>
              <w:lastRenderedPageBreak/>
              <w:t>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lastRenderedPageBreak/>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C051DD">
            <w:pPr>
              <w:jc w:val="left"/>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C051DD">
            <w:pPr>
              <w:jc w:val="left"/>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lastRenderedPageBreak/>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38735C72" w14:textId="5B576E33" w:rsidR="0091681C" w:rsidRPr="00C051DD" w:rsidRDefault="002965D7" w:rsidP="00C051DD">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sectPr w:rsidR="0091681C" w:rsidRPr="00C051D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076DB" w14:textId="77777777" w:rsidR="00130B1A" w:rsidRDefault="00130B1A">
      <w:r>
        <w:separator/>
      </w:r>
    </w:p>
  </w:endnote>
  <w:endnote w:type="continuationSeparator" w:id="0">
    <w:p w14:paraId="559EA4D4" w14:textId="77777777" w:rsidR="00130B1A" w:rsidRDefault="00130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23473FD6"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2B2227">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2B2227">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4FECF" w14:textId="77777777" w:rsidR="00130B1A" w:rsidRDefault="00130B1A">
      <w:r>
        <w:separator/>
      </w:r>
    </w:p>
  </w:footnote>
  <w:footnote w:type="continuationSeparator" w:id="0">
    <w:p w14:paraId="0A7D9CD6" w14:textId="77777777" w:rsidR="00130B1A" w:rsidRDefault="00130B1A">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defaworyzowanych.</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896"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5977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54656"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D015E8"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696B4AC4"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32D8B90A" w14:textId="77777777" w:rsidR="00C051DD" w:rsidRPr="00B80DC5" w:rsidRDefault="00C051DD" w:rsidP="00C051DD">
    <w:pPr>
      <w:pStyle w:val="Nagwek"/>
      <w:jc w:val="center"/>
      <w:rPr>
        <w:rFonts w:ascii="Calibri" w:hAnsi="Calibri"/>
        <w:b/>
        <w:szCs w:val="16"/>
      </w:rPr>
    </w:pPr>
    <w:r>
      <w:rPr>
        <w:rFonts w:ascii="Calibri" w:hAnsi="Calibri"/>
        <w:b/>
        <w:szCs w:val="16"/>
      </w:rPr>
      <w:t xml:space="preserve">pn. </w:t>
    </w:r>
    <w:r w:rsidRPr="009D7F20">
      <w:rPr>
        <w:rFonts w:ascii="Calibri" w:hAnsi="Calibri"/>
        <w:b/>
        <w:szCs w:val="16"/>
      </w:rPr>
      <w:t xml:space="preserve">„Prace czyszczeniowo-eksploatacyjne na układach technologicznych: Bloku Gazowo-Parowego /BGP/, Kotłowni </w:t>
    </w:r>
    <w:r>
      <w:rPr>
        <w:rFonts w:ascii="Calibri" w:hAnsi="Calibri"/>
        <w:b/>
        <w:szCs w:val="16"/>
      </w:rPr>
      <w:br/>
    </w:r>
    <w:r w:rsidRPr="009D7F20">
      <w:rPr>
        <w:rFonts w:ascii="Calibri" w:hAnsi="Calibri"/>
        <w:b/>
        <w:szCs w:val="16"/>
      </w:rPr>
      <w:t xml:space="preserve">Rezerwowo-Szczytowej /KRS/, Stacji Uzdatniania Wody /SUW/ na terenie PGE EC S.A. Oddział Elektrociepłownia w Lublinie Wrotków”    </w:t>
    </w:r>
  </w:p>
  <w:p w14:paraId="3F3F8F5F" w14:textId="36E20BF4" w:rsidR="00C051DD" w:rsidRPr="009D7F20" w:rsidRDefault="00C051DD" w:rsidP="00C051DD">
    <w:pPr>
      <w:widowControl w:val="0"/>
      <w:spacing w:line="240" w:lineRule="auto"/>
      <w:jc w:val="center"/>
      <w:rPr>
        <w:rFonts w:ascii="Calibri" w:hAnsi="Calibri"/>
        <w:b/>
        <w:sz w:val="16"/>
        <w:szCs w:val="16"/>
      </w:rPr>
    </w:pPr>
    <w:r w:rsidRPr="009D7F20">
      <w:rPr>
        <w:rFonts w:ascii="Calibri" w:hAnsi="Calibri"/>
        <w:b/>
        <w:sz w:val="16"/>
        <w:szCs w:val="16"/>
      </w:rPr>
      <w:t xml:space="preserve">nr </w:t>
    </w:r>
    <w:r w:rsidR="002B2227" w:rsidRPr="002B2227">
      <w:rPr>
        <w:rFonts w:ascii="Calibri" w:hAnsi="Calibri"/>
        <w:b/>
        <w:sz w:val="16"/>
        <w:szCs w:val="16"/>
      </w:rPr>
      <w:t>POST/PEC/PEC/UZI/01090/2024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66AA4"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hideSpellingErrors/>
  <w:hideGrammaticalError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0B1A"/>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2227"/>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1D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POST/PEC/PEC/UZI/01090/2024                       </dmsv2SWPP2ObjectNumber>
    <dmsv2SWPP2SumMD5 xmlns="http://schemas.microsoft.com/sharepoint/v3">e8faf65b0b85bd617836352e1aa1e505</dmsv2SWPP2SumMD5>
    <dmsv2BaseMoved xmlns="http://schemas.microsoft.com/sharepoint/v3">false</dmsv2BaseMoved>
    <dmsv2BaseIsSensitive xmlns="http://schemas.microsoft.com/sharepoint/v3">true</dmsv2BaseIsSensitive>
    <dmsv2SWPP2IDSWPP2 xmlns="http://schemas.microsoft.com/sharepoint/v3">660266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21019745</dmsv2BaseClientSystemDocumentID>
    <dmsv2BaseModifiedByID xmlns="http://schemas.microsoft.com/sharepoint/v3">19100767</dmsv2BaseModifiedByID>
    <dmsv2BaseCreatedByID xmlns="http://schemas.microsoft.com/sharepoint/v3">19100767</dmsv2BaseCreatedByID>
    <dmsv2SWPP2ObjectDepartment xmlns="http://schemas.microsoft.com/sharepoint/v3">00000001000l00030004</dmsv2SWPP2ObjectDepartment>
    <dmsv2SWPP2ObjectName xmlns="http://schemas.microsoft.com/sharepoint/v3">Postępowanie</dmsv2SWPP2ObjectName>
    <_dlc_DocId xmlns="a19cb1c7-c5c7-46d4-85ae-d83685407bba">AEASQFSYQUA4-848585078-3642</_dlc_DocId>
    <_dlc_DocIdUrl xmlns="a19cb1c7-c5c7-46d4-85ae-d83685407bba">
      <Url>https://swpp2.dms.gkpge.pl/sites/32/_layouts/15/DocIdRedir.aspx?ID=AEASQFSYQUA4-848585078-3642</Url>
      <Description>AEASQFSYQUA4-848585078-3642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9D19A00F-7067-4E16-BE57-FBC5B5B4482C}"/>
</file>

<file path=customXml/itemProps4.xml><?xml version="1.0" encoding="utf-8"?>
<ds:datastoreItem xmlns:ds="http://schemas.openxmlformats.org/officeDocument/2006/customXml" ds:itemID="{BBFB2CAD-B908-4B48-9003-3BF641E310E5}">
  <ds:schemaRefs>
    <ds:schemaRef ds:uri="http://schemas.openxmlformats.org/officeDocument/2006/bibliography"/>
  </ds:schemaRefs>
</ds:datastoreItem>
</file>

<file path=customXml/itemProps5.xml><?xml version="1.0" encoding="utf-8"?>
<ds:datastoreItem xmlns:ds="http://schemas.openxmlformats.org/officeDocument/2006/customXml" ds:itemID="{EB0D247F-D9F3-4FAC-AF5E-6A1964A8EC50}"/>
</file>

<file path=docProps/app.xml><?xml version="1.0" encoding="utf-8"?>
<Properties xmlns="http://schemas.openxmlformats.org/officeDocument/2006/extended-properties" xmlns:vt="http://schemas.openxmlformats.org/officeDocument/2006/docPropsVTypes">
  <Template>opracowanie%20POL</Template>
  <TotalTime>0</TotalTime>
  <Pages>17</Pages>
  <Words>4339</Words>
  <Characters>26038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Masłoń Patrycja [PGE EC S.A.]</cp:lastModifiedBy>
  <cp:revision>3</cp:revision>
  <cp:lastPrinted>2018-06-04T14:47:00Z</cp:lastPrinted>
  <dcterms:created xsi:type="dcterms:W3CDTF">2024-07-09T09:49:00Z</dcterms:created>
  <dcterms:modified xsi:type="dcterms:W3CDTF">2024-10-24T09:37:00Z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0d0fda71-6756-4109-9ce5-c365a8215976</vt:lpwstr>
  </property>
</Properties>
</file>