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bookmarkStart w:id="0" w:name="_GoBack"/>
      <w:bookmarkEnd w:id="0"/>
      <w:r w:rsidRPr="00D319FC">
        <w:rPr>
          <w:rFonts w:asciiTheme="minorHAnsi" w:hAnsiTheme="minorHAnsi" w:cstheme="minorHAnsi"/>
          <w:b/>
          <w:sz w:val="18"/>
          <w:szCs w:val="18"/>
        </w:rPr>
        <w:t>Załącznik nr 5 do SWZ</w:t>
      </w:r>
    </w:p>
    <w:p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9D2F03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9758A5">
        <w:rPr>
          <w:rFonts w:asciiTheme="minorHAnsi" w:hAnsiTheme="minorHAnsi" w:cstheme="minorHAnsi"/>
          <w:b/>
          <w:bCs/>
          <w:noProof/>
          <w:sz w:val="18"/>
          <w:szCs w:val="18"/>
        </w:rPr>
        <w:t>299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974D9A">
        <w:rPr>
          <w:rFonts w:asciiTheme="minorHAnsi" w:hAnsiTheme="minorHAnsi" w:cstheme="minorHAnsi"/>
          <w:b/>
          <w:bCs/>
          <w:noProof/>
          <w:sz w:val="18"/>
          <w:szCs w:val="18"/>
        </w:rPr>
        <w:t>4</w:t>
      </w:r>
    </w:p>
    <w:p w:rsidR="005C0534" w:rsidRPr="00D319FC" w:rsidRDefault="005C0534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AB4697" w:rsidRPr="00D319FC" w:rsidRDefault="00AB4697" w:rsidP="00AB4697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:rsidR="00D319FC" w:rsidRPr="00AB4697" w:rsidRDefault="00D319FC" w:rsidP="00AB4697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(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wypełnia 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wykonawca którego oferta zost</w:t>
      </w:r>
      <w:r w:rsidR="00B46700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ała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 wybrana na etapie podpis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a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nia Umowy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AB4697" w:rsidRPr="00AB4697" w:rsidRDefault="00AB4697" w:rsidP="00AB4697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 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AB4697" w:rsidRPr="00AB4697" w:rsidTr="00060CA3">
        <w:trPr>
          <w:trHeight w:val="464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1356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AB4697" w:rsidRPr="00AB4697" w:rsidTr="00060CA3">
        <w:trPr>
          <w:trHeight w:val="246"/>
        </w:trPr>
        <w:tc>
          <w:tcPr>
            <w:tcW w:w="1258" w:type="pct"/>
            <w:vMerge w:val="restar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AB4697" w:rsidRPr="00AB4697" w:rsidTr="00060CA3">
        <w:trPr>
          <w:trHeight w:val="555"/>
        </w:trPr>
        <w:tc>
          <w:tcPr>
            <w:tcW w:w="1258" w:type="pct"/>
            <w:vMerge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:rsidR="00AB4697" w:rsidRPr="00AB4697" w:rsidRDefault="00AB4697" w:rsidP="00AB4697">
            <w:pPr>
              <w:numPr>
                <w:ilvl w:val="0"/>
                <w:numId w:val="43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:rsidR="00AB4697" w:rsidRPr="00AB4697" w:rsidRDefault="00AB4697" w:rsidP="00AB4697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  <w:vAlign w:val="center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79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79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……………………………………………………..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Objaśnienia: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AB4697" w:rsidRPr="00AB4697" w:rsidRDefault="00AB4697" w:rsidP="00AB4697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tiret pierwszym–piątym, </w:t>
      </w:r>
    </w:p>
    <w:p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:rsidR="00AB4697" w:rsidRPr="00AB4697" w:rsidRDefault="00AB4697" w:rsidP="00AB4697">
      <w:pPr>
        <w:numPr>
          <w:ilvl w:val="0"/>
          <w:numId w:val="42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trybunałów obrachunkowych lub zarządów banków centralnych,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chargés d’affaires oraz wyższych oficerów sił zbrojnych,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:rsidR="00AB4697" w:rsidRPr="00AB4697" w:rsidRDefault="00AB4697" w:rsidP="00AB4697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:rsidR="00AB4697" w:rsidRPr="00AB4697" w:rsidRDefault="00AB4697" w:rsidP="00AB4697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Style w:val="Tabela-Siatka2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AB4697" w:rsidRPr="00AB4697" w:rsidTr="00060CA3">
        <w:trPr>
          <w:trHeight w:val="705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Administratorem Pani/Pana danych osobowych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jest PGE Energia Odnawialna S.A. siedzibą w Warszawie (00-876), ul. Ogrodowa 59A.</w:t>
            </w:r>
            <w:r w:rsidRPr="00AB4697" w:rsidDel="008C75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B4697" w:rsidRPr="00AB4697" w:rsidTr="00060CA3">
        <w:trPr>
          <w:trHeight w:val="954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Inspektorem Ochrony Danych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pod adresem </w:t>
            </w:r>
            <w:hyperlink r:id="rId8" w:history="1">
              <w:r w:rsidRPr="00D319FC">
                <w:rPr>
                  <w:rFonts w:asciiTheme="minorHAnsi" w:hAnsiTheme="minorHAnsi" w:cstheme="minorHAnsi"/>
                  <w:sz w:val="18"/>
                  <w:szCs w:val="18"/>
                </w:rPr>
                <w:t>iod.eosa@gkpge.pl</w:t>
              </w:r>
            </w:hyperlink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 lub pisemnie na adres korespondencyjny: ul. Ogrodowa 59A 00-876 Warszawa. 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Będziemy przetwarzać Pani/Pana dane: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na podstawie art. 6 ust. 1 lit. c RODO -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przetwarzanie jest niezbędne do wypełnienia obowiązków prawnych ciążących na Administratorze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 związku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podejmowaniem działań przed zawarciem umowy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na podstawie art. 6 ust. 1 lit. b RODO;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celu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prowadzenia dokumentacji współpracy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celach archiwalnych (dowodowych)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celu ewentualnego ustalenia, dochodzenia lub obrony przed roszczeniami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będącym realizacją prawnie uzasadnionego interesu PGE Energia Odnawialna S.A (art. 6 ust. 1 lit. f RODO).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Pani/Pana dane osobowe mogą zostać przekazywane: 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podmiotom z Grupy PGE, naszym partnerom, czyli firmom, z którymi współpracujemy łącząc produkty lub usługi;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instytucjom określonym przez przepisy prawa np. Urząd Skarbowy, ZUS, PiP, GPW, KNF lub innym;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naszym podwykonawcom  i usługodawcom (podmiotom przetwarzającym).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>Przekazywanie danych osobowych poza EOG</w:t>
            </w:r>
          </w:p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 xml:space="preserve">Pani/Pana dane osobowe co do zasady nie będą przekazywane poza Europejski Obszar Gospodarczy (dalej: EOG).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t xml:space="preserve">Mając jednak na uwadze obsługę infrastruktury IT i usługi teleingformatyczne świadczone przez PGE Systemy S.A. jako Podmiot przetwarzający, którego wybrani podwykonawcy działają poza EOG, powyższe może powodować przekazanie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lastRenderedPageBreak/>
              <w:t>Pani/Pana danych poza EOG. Każdorazowo transfer danych oparty jest o podstawę legalizującą wynikającą z art. 46 ust. 2 RODO.</w:t>
            </w:r>
          </w:p>
        </w:tc>
      </w:tr>
      <w:tr w:rsidR="00AB4697" w:rsidRPr="00AB4697" w:rsidTr="00060CA3">
        <w:trPr>
          <w:trHeight w:val="1632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Zgodnie z RODO, przysługuje Pani/Panu prawo do: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dostępu do swoich danych oraz otrzymania ich kopii;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sprostowania (poprawiania) swoich danych;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usunięcia, ograniczenia lub wniesienia sprzeciwu wobec ich przetwarzania;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przenoszenia danych;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wniesienia skargi do organu nadzorczego.</w:t>
            </w:r>
          </w:p>
        </w:tc>
      </w:tr>
      <w:tr w:rsidR="00AB4697" w:rsidRPr="00AB4697" w:rsidTr="00060CA3">
        <w:trPr>
          <w:trHeight w:val="555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każdej chwili przysługuje Pani/Panu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AB4697" w:rsidRPr="00AB4697" w:rsidTr="00060CA3">
        <w:trPr>
          <w:trHeight w:val="882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Podanie danych jest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dobrowolne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ale niezbędne do realizacji powyższych celów przetwarzania.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Informujemy, że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nie podejmujemy decyzji w sposób zautomatyzowany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 Pani/Pana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nie są profilowane.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mogą zawierać: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imię i nazwisko, obywatelstwo, numer PESEL lub datę urodzenia w przypadku nieposiadania numeru PESEL, 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Dane zostały podane przez Kontrahenta.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0C37C0">
      <w:headerReference w:type="default" r:id="rId9"/>
      <w:footerReference w:type="even" r:id="rId10"/>
      <w:footerReference w:type="default" r:id="rId11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9E" w:rsidRDefault="00A63A9E" w:rsidP="00566A36">
      <w:r>
        <w:separator/>
      </w:r>
    </w:p>
  </w:endnote>
  <w:endnote w:type="continuationSeparator" w:id="0">
    <w:p w:rsidR="00A63A9E" w:rsidRDefault="00A63A9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9E" w:rsidRDefault="00A63A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A9E" w:rsidRDefault="00A63A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:rsidR="00A63A9E" w:rsidRPr="00CA4B37" w:rsidRDefault="00A63A9E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D21C6" wp14:editId="15657309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65FA71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:rsidR="00A63A9E" w:rsidRPr="003E3547" w:rsidRDefault="00A63A9E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:rsidR="00A63A9E" w:rsidRPr="00925733" w:rsidRDefault="00A63A9E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4D0232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4D0232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63A9E" w:rsidRPr="00925733" w:rsidRDefault="00A63A9E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9E" w:rsidRDefault="00A63A9E" w:rsidP="00566A36">
      <w:r>
        <w:separator/>
      </w:r>
    </w:p>
  </w:footnote>
  <w:footnote w:type="continuationSeparator" w:id="0">
    <w:p w:rsidR="00A63A9E" w:rsidRDefault="00A63A9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9E" w:rsidRDefault="00A63A9E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0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38"/>
  </w:num>
  <w:num w:numId="4">
    <w:abstractNumId w:val="13"/>
  </w:num>
  <w:num w:numId="5">
    <w:abstractNumId w:val="25"/>
  </w:num>
  <w:num w:numId="6">
    <w:abstractNumId w:val="11"/>
  </w:num>
  <w:num w:numId="7">
    <w:abstractNumId w:val="27"/>
  </w:num>
  <w:num w:numId="8">
    <w:abstractNumId w:val="29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54"/>
  </w:num>
  <w:num w:numId="12">
    <w:abstractNumId w:val="55"/>
  </w:num>
  <w:num w:numId="13">
    <w:abstractNumId w:val="10"/>
  </w:num>
  <w:num w:numId="14">
    <w:abstractNumId w:val="30"/>
  </w:num>
  <w:num w:numId="15">
    <w:abstractNumId w:val="39"/>
  </w:num>
  <w:num w:numId="16">
    <w:abstractNumId w:val="40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</w:num>
  <w:num w:numId="27">
    <w:abstractNumId w:val="48"/>
  </w:num>
  <w:num w:numId="28">
    <w:abstractNumId w:val="21"/>
  </w:num>
  <w:num w:numId="29">
    <w:abstractNumId w:val="18"/>
  </w:num>
  <w:num w:numId="30">
    <w:abstractNumId w:val="32"/>
  </w:num>
  <w:num w:numId="31">
    <w:abstractNumId w:val="44"/>
  </w:num>
  <w:num w:numId="32">
    <w:abstractNumId w:val="2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47"/>
  </w:num>
  <w:num w:numId="36">
    <w:abstractNumId w:val="45"/>
  </w:num>
  <w:num w:numId="37">
    <w:abstractNumId w:val="20"/>
  </w:num>
  <w:num w:numId="38">
    <w:abstractNumId w:val="50"/>
  </w:num>
  <w:num w:numId="39">
    <w:abstractNumId w:val="41"/>
  </w:num>
  <w:num w:numId="40">
    <w:abstractNumId w:val="49"/>
  </w:num>
  <w:num w:numId="41">
    <w:abstractNumId w:val="14"/>
  </w:num>
  <w:num w:numId="42">
    <w:abstractNumId w:val="51"/>
  </w:num>
  <w:num w:numId="43">
    <w:abstractNumId w:val="53"/>
  </w:num>
  <w:num w:numId="44">
    <w:abstractNumId w:val="33"/>
  </w:num>
  <w:num w:numId="45">
    <w:abstractNumId w:val="37"/>
  </w:num>
  <w:num w:numId="46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51E9"/>
    <w:rsid w:val="0009600A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2D8"/>
    <w:rsid w:val="002F761E"/>
    <w:rsid w:val="002F76C6"/>
    <w:rsid w:val="002F7FA6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57DE"/>
    <w:rsid w:val="00467015"/>
    <w:rsid w:val="004677E6"/>
    <w:rsid w:val="00470A4F"/>
    <w:rsid w:val="00471125"/>
    <w:rsid w:val="0047186D"/>
    <w:rsid w:val="00471A3C"/>
    <w:rsid w:val="00471CB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4EAF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23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40C0"/>
    <w:rsid w:val="0051426D"/>
    <w:rsid w:val="00514511"/>
    <w:rsid w:val="005146B8"/>
    <w:rsid w:val="005149D1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7FE"/>
    <w:rsid w:val="005F2937"/>
    <w:rsid w:val="005F3B80"/>
    <w:rsid w:val="005F3B8F"/>
    <w:rsid w:val="005F3C2A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BA4"/>
    <w:rsid w:val="00652FA0"/>
    <w:rsid w:val="0065336E"/>
    <w:rsid w:val="00653503"/>
    <w:rsid w:val="00654309"/>
    <w:rsid w:val="00654552"/>
    <w:rsid w:val="00654739"/>
    <w:rsid w:val="0065539C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4C8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C90"/>
    <w:rsid w:val="007E3D06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947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58A5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D5B"/>
    <w:rsid w:val="009850C1"/>
    <w:rsid w:val="0098599E"/>
    <w:rsid w:val="00985C62"/>
    <w:rsid w:val="0098665A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C60"/>
    <w:rsid w:val="00A402FC"/>
    <w:rsid w:val="00A40609"/>
    <w:rsid w:val="00A40E7A"/>
    <w:rsid w:val="00A4302A"/>
    <w:rsid w:val="00A43A87"/>
    <w:rsid w:val="00A43B81"/>
    <w:rsid w:val="00A443DA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A9E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FED"/>
    <w:rsid w:val="00CB494F"/>
    <w:rsid w:val="00CB5102"/>
    <w:rsid w:val="00CB5448"/>
    <w:rsid w:val="00CB635B"/>
    <w:rsid w:val="00CB6576"/>
    <w:rsid w:val="00CB699F"/>
    <w:rsid w:val="00CB6AE6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97A50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F36"/>
    <w:rsid w:val="00DF388F"/>
    <w:rsid w:val="00DF38F1"/>
    <w:rsid w:val="00DF3D40"/>
    <w:rsid w:val="00DF3EF1"/>
    <w:rsid w:val="00DF45BE"/>
    <w:rsid w:val="00DF481A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D28"/>
    <w:rsid w:val="00E0455C"/>
    <w:rsid w:val="00E0484A"/>
    <w:rsid w:val="00E051EF"/>
    <w:rsid w:val="00E05253"/>
    <w:rsid w:val="00E054A6"/>
    <w:rsid w:val="00E05A76"/>
    <w:rsid w:val="00E05B7A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6CC"/>
    <w:rsid w:val="00E26799"/>
    <w:rsid w:val="00E26AB3"/>
    <w:rsid w:val="00E26F7E"/>
    <w:rsid w:val="00E27144"/>
    <w:rsid w:val="00E2793F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A7"/>
    <w:rsid w:val="00EF5C59"/>
    <w:rsid w:val="00EF5FB7"/>
    <w:rsid w:val="00EF651C"/>
    <w:rsid w:val="00EF73D4"/>
    <w:rsid w:val="00EF7D6A"/>
    <w:rsid w:val="00EF7F34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Oświadczenie Wykonawcy o strukturze właścicielskiej i beneficjencie rzeczywistym.docx</dmsv2BaseFileName>
    <dmsv2BaseDisplayName xmlns="http://schemas.microsoft.com/sharepoint/v3">Załącznik nr 5 Oświadczenie Wykonawcy o strukturze właścicielskiej i beneficjencie rzeczywistym</dmsv2BaseDisplayName>
    <dmsv2SWPP2ObjectNumber xmlns="http://schemas.microsoft.com/sharepoint/v3">POST/EOD/EOD/BM/00299/2024                        </dmsv2SWPP2ObjectNumber>
    <dmsv2SWPP2SumMD5 xmlns="http://schemas.microsoft.com/sharepoint/v3">084cbef1e7181f9c6767cb26775bf616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20729558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ZKQJDXMXURTQ-1688516315-16003</_dlc_DocId>
    <_dlc_DocIdUrl xmlns="a19cb1c7-c5c7-46d4-85ae-d83685407bba">
      <Url>https://swpp2.dms.gkpge.pl/sites/31/_layouts/15/DocIdRedir.aspx?ID=ZKQJDXMXURTQ-1688516315-16003</Url>
      <Description>ZKQJDXMXURTQ-1688516315-16003</Description>
    </_dlc_DocIdUrl>
  </documentManagement>
</p:properties>
</file>

<file path=customXml/itemProps1.xml><?xml version="1.0" encoding="utf-8"?>
<ds:datastoreItem xmlns:ds="http://schemas.openxmlformats.org/officeDocument/2006/customXml" ds:itemID="{069EA946-AAE5-4953-AF4E-5C07F2473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E9304E-52AD-4EFE-82FE-181BECF79768}"/>
</file>

<file path=customXml/itemProps3.xml><?xml version="1.0" encoding="utf-8"?>
<ds:datastoreItem xmlns:ds="http://schemas.openxmlformats.org/officeDocument/2006/customXml" ds:itemID="{5F90DFC7-868A-414C-88D4-248E997AC342}"/>
</file>

<file path=customXml/itemProps4.xml><?xml version="1.0" encoding="utf-8"?>
<ds:datastoreItem xmlns:ds="http://schemas.openxmlformats.org/officeDocument/2006/customXml" ds:itemID="{7A3AB31F-81FC-4343-A6C2-259F79597AFA}"/>
</file>

<file path=customXml/itemProps5.xml><?xml version="1.0" encoding="utf-8"?>
<ds:datastoreItem xmlns:ds="http://schemas.openxmlformats.org/officeDocument/2006/customXml" ds:itemID="{7DBD2B0C-E979-4956-9039-7C2574892B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2297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62</cp:revision>
  <cp:lastPrinted>2024-09-02T12:22:00Z</cp:lastPrinted>
  <dcterms:created xsi:type="dcterms:W3CDTF">2024-02-08T07:33:00Z</dcterms:created>
  <dcterms:modified xsi:type="dcterms:W3CDTF">2024-10-09T08:48:00Z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0x0101891000D8C635179C9B2D4DAC5CD54522DDBB8C</vt:lpwstr>
  </property>
  <property fmtid="{D5CDD505-2E9C-101B-9397-08002B2CF9AE}" pid="10" name="_dlc_DocIdItemGuid">
    <vt:lpwstr>6b56be10-c1e9-4aab-98e9-49cf1d6a94b0</vt:lpwstr>
  </property>
</Properties>
</file>