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1B94C" w14:textId="752F7D3F" w:rsidR="00D2273F" w:rsidRPr="00AB6174" w:rsidRDefault="00AB6174" w:rsidP="00AB6174">
      <w:pPr>
        <w:spacing w:line="276" w:lineRule="auto"/>
        <w:ind w:right="8"/>
        <w:rPr>
          <w:rFonts w:cstheme="minorHAnsi"/>
          <w:b/>
        </w:rPr>
      </w:pPr>
      <w:r w:rsidRPr="00AB6174">
        <w:rPr>
          <w:rFonts w:cstheme="minorHAnsi"/>
          <w:b/>
        </w:rPr>
        <w:t xml:space="preserve">Załącznik nr </w:t>
      </w:r>
      <w:r w:rsidR="00346B54">
        <w:rPr>
          <w:rFonts w:cstheme="minorHAnsi"/>
          <w:b/>
        </w:rPr>
        <w:t>4</w:t>
      </w:r>
      <w:r w:rsidRPr="00AB6174">
        <w:rPr>
          <w:rFonts w:cstheme="minorHAnsi"/>
          <w:b/>
        </w:rPr>
        <w:t xml:space="preserve"> Klauzula sankcyjna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D2273F" w:rsidRPr="009D5AE9" w14:paraId="40D2732F" w14:textId="77777777" w:rsidTr="00D2273F">
        <w:trPr>
          <w:trHeight w:val="255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37AE523B" w14:textId="6BA30C79" w:rsidR="00D2273F" w:rsidRPr="009D5AE9" w:rsidRDefault="00D2273F" w:rsidP="007B2B54">
            <w:pPr>
              <w:tabs>
                <w:tab w:val="right" w:pos="8932"/>
              </w:tabs>
              <w:spacing w:line="276" w:lineRule="auto"/>
              <w:rPr>
                <w:rFonts w:cstheme="minorHAnsi"/>
                <w:b/>
                <w:bCs/>
              </w:rPr>
            </w:pPr>
            <w:r w:rsidRPr="009D5AE9">
              <w:rPr>
                <w:rFonts w:cstheme="minorHAnsi"/>
                <w:b/>
                <w:bCs/>
              </w:rPr>
              <w:t>Objęcie Sankcjami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35956F0F" w14:textId="73C848D7" w:rsidR="00D2273F" w:rsidRPr="009D5AE9" w:rsidRDefault="00D2273F" w:rsidP="007B2B54">
            <w:pPr>
              <w:tabs>
                <w:tab w:val="right" w:pos="8932"/>
              </w:tabs>
              <w:spacing w:line="276" w:lineRule="auto"/>
              <w:rPr>
                <w:rFonts w:cstheme="minorHAnsi"/>
                <w:color w:val="000000" w:themeColor="text1"/>
              </w:rPr>
            </w:pPr>
            <w:r w:rsidRPr="009D5AE9">
              <w:rPr>
                <w:rFonts w:cstheme="minorHAnsi"/>
              </w:rPr>
              <w:t>oznacza wystąpienie okoliczności (w szczególności faktycznych lub prawnych) kwalifikujących dany podmiot do kategorii Podmiotów Objętych Sankcjami</w:t>
            </w:r>
            <w:r w:rsidRPr="009D5AE9">
              <w:rPr>
                <w:rFonts w:cstheme="minorHAnsi"/>
                <w:color w:val="000000" w:themeColor="text1"/>
              </w:rPr>
              <w:t>;</w:t>
            </w:r>
          </w:p>
        </w:tc>
      </w:tr>
      <w:tr w:rsidR="00A02733" w:rsidRPr="009D5AE9" w14:paraId="17DF6DBF" w14:textId="77777777" w:rsidTr="00D2273F">
        <w:trPr>
          <w:trHeight w:val="255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242AEDA" w14:textId="7B0678EF" w:rsidR="00A02733" w:rsidRPr="009D5AE9" w:rsidRDefault="00A02733" w:rsidP="007B2B54">
            <w:pPr>
              <w:tabs>
                <w:tab w:val="right" w:pos="8932"/>
              </w:tabs>
              <w:spacing w:line="276" w:lineRule="auto"/>
              <w:rPr>
                <w:rFonts w:cstheme="minorHAnsi"/>
                <w:b/>
                <w:bCs/>
              </w:rPr>
            </w:pPr>
            <w:r w:rsidRPr="009D5AE9">
              <w:rPr>
                <w:rFonts w:cstheme="minorHAnsi"/>
                <w:b/>
                <w:bCs/>
              </w:rPr>
              <w:t>Podmiot Biorący Udział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4370C69" w14:textId="77777777" w:rsidR="00A02733" w:rsidRPr="009D5AE9" w:rsidRDefault="00A02733" w:rsidP="00F7473C">
            <w:pPr>
              <w:tabs>
                <w:tab w:val="left" w:pos="851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t>oznacza podmiot będący:</w:t>
            </w:r>
          </w:p>
          <w:p w14:paraId="7C525159" w14:textId="77777777" w:rsidR="00A02733" w:rsidRPr="009D5AE9" w:rsidRDefault="00A02733">
            <w:pPr>
              <w:numPr>
                <w:ilvl w:val="2"/>
                <w:numId w:val="2"/>
              </w:numPr>
              <w:tabs>
                <w:tab w:val="left" w:pos="851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t>Podwykonawcą (któregokolwiek stopnia, tj. także dalszym podwykonawcą lub dostawcą, w tym podwykonawcą lub dostawcą podwykonawcy lub dalszego podwykonawcy i dostawcy), którego przedmiotem świadczenia są jakiekolwiek roboty budowlane, prace, usługi lub dostawy, związane z realizacją Umowy,</w:t>
            </w:r>
          </w:p>
          <w:p w14:paraId="233A8A7C" w14:textId="5257C79A" w:rsidR="00A02733" w:rsidRPr="009D5AE9" w:rsidRDefault="00A02733">
            <w:pPr>
              <w:numPr>
                <w:ilvl w:val="2"/>
                <w:numId w:val="2"/>
              </w:numPr>
              <w:tabs>
                <w:tab w:val="left" w:pos="851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t>podmiotem, na którego zdolnościach Wykonawca polega</w:t>
            </w:r>
            <w:r w:rsidR="006F6CF6">
              <w:rPr>
                <w:rFonts w:cstheme="minorHAnsi"/>
              </w:rPr>
              <w:t xml:space="preserve"> w celu wykazania spełniania warunków udziału w postępowaniu</w:t>
            </w:r>
            <w:r w:rsidRPr="009D5AE9">
              <w:rPr>
                <w:rFonts w:cstheme="minorHAnsi"/>
              </w:rPr>
              <w:t>;</w:t>
            </w:r>
          </w:p>
        </w:tc>
      </w:tr>
      <w:tr w:rsidR="00D2273F" w:rsidRPr="009D5AE9" w14:paraId="674DFBB3" w14:textId="77777777" w:rsidTr="00D2273F">
        <w:trPr>
          <w:trHeight w:val="255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649998A8" w14:textId="383C520E" w:rsidR="00D2273F" w:rsidRPr="009D5AE9" w:rsidRDefault="00D2273F" w:rsidP="007B2B54">
            <w:pPr>
              <w:tabs>
                <w:tab w:val="right" w:pos="8932"/>
              </w:tabs>
              <w:spacing w:line="276" w:lineRule="auto"/>
              <w:rPr>
                <w:rFonts w:cstheme="minorHAnsi"/>
                <w:b/>
                <w:bCs/>
              </w:rPr>
            </w:pPr>
            <w:r w:rsidRPr="009D5AE9">
              <w:rPr>
                <w:rFonts w:cstheme="minorHAnsi"/>
                <w:b/>
                <w:bCs/>
              </w:rPr>
              <w:t>Podmiot Objęty Sankcjami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B3128A3" w14:textId="73315CDB" w:rsidR="00D2273F" w:rsidRPr="009D5AE9" w:rsidRDefault="00D2273F" w:rsidP="00F7473C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t>oznacza podmiot należący do którejkolwiek z poniższych kategorii:</w:t>
            </w:r>
          </w:p>
          <w:p w14:paraId="77F0B580" w14:textId="77777777" w:rsidR="00D2273F" w:rsidRPr="009D5AE9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t>podmiot, o którym mowa w art. 5k ust. 1 Rozporządzenia 833/2014, tj.:</w:t>
            </w:r>
          </w:p>
          <w:p w14:paraId="686FE9DB" w14:textId="6292DF46" w:rsidR="00D2273F" w:rsidRPr="009D5AE9" w:rsidRDefault="00D2273F">
            <w:pPr>
              <w:numPr>
                <w:ilvl w:val="3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t>obywatel rosyjski, osoba fizyczna, osoba prawna, podmiot lub organ z siedzibą w Rosji</w:t>
            </w:r>
            <w:r w:rsidR="00A02733" w:rsidRPr="009D5AE9">
              <w:rPr>
                <w:rFonts w:cstheme="minorHAnsi"/>
              </w:rPr>
              <w:t>,</w:t>
            </w:r>
          </w:p>
          <w:p w14:paraId="286B683A" w14:textId="5AFA0ED1" w:rsidR="00D2273F" w:rsidRPr="009D5AE9" w:rsidRDefault="00D2273F">
            <w:pPr>
              <w:numPr>
                <w:ilvl w:val="3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t xml:space="preserve">osoba prawna, podmiot lub organ, do której/którego prawa własności bezpośrednio lub pośrednio w ponad 50 % należą do podmiotu lub podmiotów, o którym/których mowa w ppkt (i) </w:t>
            </w:r>
            <w:r w:rsidR="001D47E6" w:rsidRPr="009D5AE9">
              <w:rPr>
                <w:rFonts w:cstheme="minorHAnsi"/>
              </w:rPr>
              <w:t>powyżej</w:t>
            </w:r>
            <w:r w:rsidR="00A02733" w:rsidRPr="009D5AE9">
              <w:rPr>
                <w:rFonts w:cstheme="minorHAnsi"/>
              </w:rPr>
              <w:t>,</w:t>
            </w:r>
          </w:p>
          <w:p w14:paraId="3B8A419A" w14:textId="1B1FDFB6" w:rsidR="00D2273F" w:rsidRPr="009D5AE9" w:rsidRDefault="00D2273F">
            <w:pPr>
              <w:numPr>
                <w:ilvl w:val="3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t xml:space="preserve">osoba fizyczna lub prawna, podmiot lub organ działająca/y w imieniu lub pod kierunkiem podmiotu lub podmiotów, o którym/których mowa w ppkt (i) lub (ii) </w:t>
            </w:r>
            <w:r w:rsidR="001D47E6" w:rsidRPr="009D5AE9">
              <w:rPr>
                <w:rFonts w:cstheme="minorHAnsi"/>
              </w:rPr>
              <w:t>powyżej</w:t>
            </w:r>
            <w:r w:rsidR="00A02733" w:rsidRPr="009D5AE9">
              <w:rPr>
                <w:rFonts w:cstheme="minorHAnsi"/>
              </w:rPr>
              <w:t>;</w:t>
            </w:r>
          </w:p>
          <w:p w14:paraId="42038431" w14:textId="1EFA05DB" w:rsidR="00D2273F" w:rsidRPr="009D5AE9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t>podmiot wymieniony w którymkolwiek z wykazów określonych w Rozporządzeniu 765/2006</w:t>
            </w:r>
            <w:r w:rsidR="00A02733" w:rsidRPr="009D5AE9">
              <w:rPr>
                <w:rFonts w:cstheme="minorHAnsi"/>
              </w:rPr>
              <w:t>;</w:t>
            </w:r>
          </w:p>
          <w:p w14:paraId="1BF31E13" w14:textId="60851B3B" w:rsidR="00D2273F" w:rsidRPr="009D5AE9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t>podmiot wymieniony w którymkolwiek z wykazów określonych w Rozporządzeniu 269/2014</w:t>
            </w:r>
            <w:r w:rsidR="00A02733" w:rsidRPr="009D5AE9">
              <w:rPr>
                <w:rFonts w:cstheme="minorHAnsi"/>
              </w:rPr>
              <w:t>;</w:t>
            </w:r>
          </w:p>
          <w:p w14:paraId="58D58350" w14:textId="60252744" w:rsidR="00D2273F" w:rsidRPr="009D5AE9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t xml:space="preserve">podmiot wpisany na listę, o której mowa w art. 2 ust. 1 </w:t>
            </w:r>
            <w:r w:rsidR="00B458A2" w:rsidRPr="009D5AE9">
              <w:rPr>
                <w:rFonts w:cstheme="minorHAnsi"/>
              </w:rPr>
              <w:t xml:space="preserve">Ustawy o przeciwdziałaniu </w:t>
            </w:r>
            <w:r w:rsidRPr="009D5AE9">
              <w:rPr>
                <w:rFonts w:cstheme="minorHAnsi"/>
              </w:rPr>
              <w:t xml:space="preserve">na podstawie decyzji w sprawie wpisu na tę listę rozstrzygającej o zastosowaniu środka, o którym mowa w art. 1 pkt 3 </w:t>
            </w:r>
            <w:r w:rsidR="00B458A2" w:rsidRPr="009D5AE9">
              <w:rPr>
                <w:rFonts w:cstheme="minorHAnsi"/>
              </w:rPr>
              <w:t>Ustawy o przeciwdziałaniu</w:t>
            </w:r>
            <w:r w:rsidR="00A02733" w:rsidRPr="009D5AE9">
              <w:rPr>
                <w:rFonts w:cstheme="minorHAnsi"/>
              </w:rPr>
              <w:t>;</w:t>
            </w:r>
          </w:p>
          <w:p w14:paraId="121B67B0" w14:textId="4955E76C" w:rsidR="00D2273F" w:rsidRPr="009D5AE9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lastRenderedPageBreak/>
              <w:t>podmiot, którego beneficjentem rzeczywistym w rozumieniu ustawy z dnia 1 marca 2018 r. o przeciwdziałaniu praniu pieniędzy oraz finansowaniu terroryzmu</w:t>
            </w:r>
            <w:r w:rsidR="006334D1" w:rsidRPr="009D5AE9">
              <w:rPr>
                <w:rFonts w:cstheme="minorHAnsi"/>
              </w:rPr>
              <w:t xml:space="preserve"> (</w:t>
            </w:r>
            <w:r w:rsidR="008A1E8F" w:rsidRPr="009D5AE9">
              <w:rPr>
                <w:rFonts w:cstheme="minorHAnsi"/>
              </w:rPr>
              <w:t xml:space="preserve">t.j. </w:t>
            </w:r>
            <w:r w:rsidR="006334D1" w:rsidRPr="009D5AE9">
              <w:rPr>
                <w:rFonts w:cstheme="minorHAnsi"/>
              </w:rPr>
              <w:t>Dz. U. z 2022 r. poz. 593 z późn. zm.)</w:t>
            </w:r>
            <w:r w:rsidRPr="009D5AE9">
              <w:rPr>
                <w:rFonts w:cstheme="minorHAnsi"/>
              </w:rPr>
              <w:t xml:space="preserve"> jest, lub po 23 lutego 2022 r. był, podmiot, o którym mowa w lit. </w:t>
            </w:r>
            <w:r w:rsidR="00A55FDE" w:rsidRPr="009D5AE9">
              <w:rPr>
                <w:rFonts w:cstheme="minorHAnsi"/>
              </w:rPr>
              <w:t xml:space="preserve">a, </w:t>
            </w:r>
            <w:r w:rsidRPr="009D5AE9">
              <w:rPr>
                <w:rFonts w:cstheme="minorHAnsi"/>
              </w:rPr>
              <w:t xml:space="preserve">b, c lub d </w:t>
            </w:r>
            <w:r w:rsidR="001D47E6" w:rsidRPr="009D5AE9">
              <w:rPr>
                <w:rFonts w:cstheme="minorHAnsi"/>
              </w:rPr>
              <w:t>powyżej</w:t>
            </w:r>
            <w:r w:rsidR="00A02733" w:rsidRPr="009D5AE9">
              <w:rPr>
                <w:rFonts w:cstheme="minorHAnsi"/>
              </w:rPr>
              <w:t>;</w:t>
            </w:r>
          </w:p>
          <w:p w14:paraId="40657353" w14:textId="42470A5D" w:rsidR="00D2273F" w:rsidRPr="009D5AE9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t>podmiot, którego jednostką dominującą w rozumieniu art. 3 ust. 1 pkt 37 ustawy z dnia 29 września 1994 r. o rachunkowości</w:t>
            </w:r>
            <w:r w:rsidR="003D3E7A" w:rsidRPr="009D5AE9">
              <w:rPr>
                <w:rFonts w:cstheme="minorHAnsi"/>
              </w:rPr>
              <w:t xml:space="preserve"> (t.j. Dz. U. z 2021 r. poz. 217 z późn. zm.)</w:t>
            </w:r>
            <w:r w:rsidRPr="009D5AE9">
              <w:rPr>
                <w:rFonts w:cstheme="minorHAnsi"/>
              </w:rPr>
              <w:t>, jest lub po 23 lutego 2022 r. był, podmiot, o którym mowa w lit.</w:t>
            </w:r>
            <w:r w:rsidR="00A55FDE" w:rsidRPr="009D5AE9">
              <w:rPr>
                <w:rFonts w:cstheme="minorHAnsi"/>
              </w:rPr>
              <w:t xml:space="preserve"> a,</w:t>
            </w:r>
            <w:r w:rsidRPr="009D5AE9">
              <w:rPr>
                <w:rFonts w:cstheme="minorHAnsi"/>
              </w:rPr>
              <w:t xml:space="preserve"> b, c lub d </w:t>
            </w:r>
            <w:r w:rsidR="001D47E6" w:rsidRPr="009D5AE9">
              <w:rPr>
                <w:rFonts w:cstheme="minorHAnsi"/>
              </w:rPr>
              <w:t>powyżej</w:t>
            </w:r>
            <w:r w:rsidR="0069640F" w:rsidRPr="009D5AE9">
              <w:rPr>
                <w:rFonts w:cstheme="minorHAnsi"/>
              </w:rPr>
              <w:t>;</w:t>
            </w:r>
          </w:p>
          <w:p w14:paraId="738242EA" w14:textId="0B1D3B10" w:rsidR="00D2273F" w:rsidRPr="009D5AE9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t>inny podmiot objęty, na podstawie przepisów prawa obowiązującego w</w:t>
            </w:r>
            <w:r w:rsidR="003C639A" w:rsidRPr="009D5AE9">
              <w:rPr>
                <w:rFonts w:cstheme="minorHAnsi"/>
              </w:rPr>
              <w:t xml:space="preserve"> </w:t>
            </w:r>
            <w:r w:rsidRPr="009D5AE9">
              <w:rPr>
                <w:rFonts w:cstheme="minorHAnsi"/>
              </w:rPr>
              <w:t>Rzeczypospolitej Polskiej, sankcjami wyłączającymi lub ograniczającymi możliwość zawarcia z nim lub realizacji z nim lub z jego udziałem Umowy;</w:t>
            </w:r>
          </w:p>
        </w:tc>
      </w:tr>
      <w:tr w:rsidR="00B10C86" w:rsidRPr="009D5AE9" w14:paraId="03B342F4" w14:textId="77777777" w:rsidTr="00D2273F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D9916E6" w14:textId="63C3A682" w:rsidR="00B10C86" w:rsidRPr="009D5AE9" w:rsidRDefault="00B10C86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9D5AE9">
              <w:rPr>
                <w:rFonts w:cstheme="minorHAnsi"/>
                <w:b/>
                <w:bCs/>
              </w:rPr>
              <w:lastRenderedPageBreak/>
              <w:t>Rozporządzenie 269/2014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3526C9" w14:textId="77777777" w:rsidR="00B10C86" w:rsidRPr="009D5AE9" w:rsidRDefault="00B10C86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 w:rsidRPr="009D5AE9">
              <w:rPr>
                <w:rFonts w:cstheme="minorHAnsi"/>
              </w:rPr>
              <w:t xml:space="preserve">Rozporządzenie Rady (UE) nr 269/2014 z dnia 17 marca 2014 r. w sprawie środków ograniczających w odniesieniu do działań podważających integralność terytorialną, suwerenność i niezależność Ukrainy lub im zagrażających </w:t>
            </w:r>
            <w:r w:rsidR="00864D13" w:rsidRPr="009D5AE9">
              <w:rPr>
                <w:rFonts w:cstheme="minorHAnsi"/>
              </w:rPr>
              <w:t>(Dz. U. UE. L. z 2014 r. Nr 78, str. 6 z późn. zm.)</w:t>
            </w:r>
            <w:r w:rsidRPr="009D5AE9">
              <w:rPr>
                <w:rFonts w:cstheme="minorHAnsi"/>
                <w:color w:val="000000" w:themeColor="text1"/>
              </w:rPr>
              <w:t>;</w:t>
            </w:r>
          </w:p>
          <w:p w14:paraId="25107708" w14:textId="267218FB" w:rsidR="00F7473C" w:rsidRPr="009D5AE9" w:rsidRDefault="00F7473C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D2273F" w:rsidRPr="009D5AE9" w14:paraId="00D4A08D" w14:textId="77777777" w:rsidTr="00D2273F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22E91F8A" w14:textId="77777777" w:rsidR="00D2273F" w:rsidRPr="009D5AE9" w:rsidRDefault="00D2273F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9D5AE9">
              <w:rPr>
                <w:rFonts w:cstheme="minorHAnsi"/>
                <w:b/>
                <w:bCs/>
              </w:rPr>
              <w:t>Rozporządzenie 765/2006</w:t>
            </w:r>
          </w:p>
          <w:p w14:paraId="13400A68" w14:textId="6454C3D1" w:rsidR="00D2273F" w:rsidRPr="009D5AE9" w:rsidRDefault="00D2273F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2686669E" w14:textId="77777777" w:rsidR="00D2273F" w:rsidRPr="009D5AE9" w:rsidRDefault="00D2273F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 w:rsidRPr="009D5AE9">
              <w:rPr>
                <w:rFonts w:cstheme="minorHAns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="00257D03" w:rsidRPr="009D5AE9">
              <w:rPr>
                <w:rFonts w:eastAsiaTheme="minorHAnsi" w:cstheme="minorHAnsi"/>
                <w:color w:val="333333"/>
                <w:shd w:val="clear" w:color="auto" w:fill="FFFFFF"/>
                <w:lang w:eastAsia="en-US"/>
              </w:rPr>
              <w:t xml:space="preserve"> </w:t>
            </w:r>
            <w:r w:rsidR="00257D03" w:rsidRPr="009D5AE9">
              <w:rPr>
                <w:rFonts w:cstheme="minorHAnsi"/>
              </w:rPr>
              <w:t>(Dz. U. UE. L. z 2006 r. Nr 134, str. 1 z późn. zm.)</w:t>
            </w:r>
            <w:r w:rsidRPr="009D5AE9">
              <w:rPr>
                <w:rFonts w:cstheme="minorHAnsi"/>
                <w:color w:val="000000" w:themeColor="text1"/>
              </w:rPr>
              <w:t>;</w:t>
            </w:r>
          </w:p>
          <w:p w14:paraId="1ADBE45E" w14:textId="4C1D9914" w:rsidR="00F7473C" w:rsidRPr="009D5AE9" w:rsidRDefault="00F7473C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D2273F" w:rsidRPr="009D5AE9" w14:paraId="6776B28F" w14:textId="77777777" w:rsidTr="00D2273F">
        <w:trPr>
          <w:trHeight w:val="48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66A62683" w14:textId="3F29FE68" w:rsidR="00D2273F" w:rsidRPr="009D5AE9" w:rsidRDefault="00D2273F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9D5AE9">
              <w:rPr>
                <w:rFonts w:cstheme="minorHAnsi"/>
                <w:b/>
                <w:bCs/>
              </w:rPr>
              <w:t>Rozporządzenie 833/2014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71C10A4D" w14:textId="77777777" w:rsidR="00D2273F" w:rsidRPr="009D5AE9" w:rsidRDefault="00D2273F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 w:rsidRPr="009D5AE9">
              <w:rPr>
                <w:rFonts w:cstheme="minorHAnsi"/>
              </w:rPr>
              <w:t>Rozporządzenie Rady (UE) nr 833/2014 z dnia 31 lipca 2014 r. dotyczące środków ograniczających w związku z działaniami Rosji destabilizującymi sytuację na Ukrainie</w:t>
            </w:r>
            <w:r w:rsidR="00B458A2" w:rsidRPr="009D5AE9">
              <w:rPr>
                <w:rFonts w:cstheme="minorHAnsi"/>
              </w:rPr>
              <w:t xml:space="preserve"> </w:t>
            </w:r>
            <w:r w:rsidR="004335A0" w:rsidRPr="009D5AE9">
              <w:rPr>
                <w:rFonts w:cstheme="minorHAnsi"/>
              </w:rPr>
              <w:t>(Dz. U. UE. L. z 2014 r. Nr 229, str. 1 z późn. zm.)</w:t>
            </w:r>
            <w:r w:rsidRPr="009D5AE9">
              <w:rPr>
                <w:rFonts w:cstheme="minorHAnsi"/>
                <w:color w:val="000000" w:themeColor="text1"/>
              </w:rPr>
              <w:t xml:space="preserve">; </w:t>
            </w:r>
          </w:p>
          <w:p w14:paraId="0F205C04" w14:textId="0D1B776B" w:rsidR="00F7473C" w:rsidRPr="009D5AE9" w:rsidRDefault="00F7473C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D2273F" w:rsidRPr="009D5AE9" w14:paraId="17CC2704" w14:textId="77777777" w:rsidTr="00D2273F">
        <w:trPr>
          <w:trHeight w:val="255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4FACFF20" w14:textId="2AD6119C" w:rsidR="00D2273F" w:rsidRPr="009D5AE9" w:rsidRDefault="00D2273F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9D5AE9">
              <w:rPr>
                <w:rFonts w:cstheme="minorHAnsi"/>
                <w:b/>
                <w:bCs/>
              </w:rPr>
              <w:t xml:space="preserve">Ustawa </w:t>
            </w:r>
            <w:r w:rsidR="00D302C4" w:rsidRPr="009D5AE9">
              <w:rPr>
                <w:rFonts w:cstheme="minorHAnsi"/>
                <w:b/>
                <w:bCs/>
              </w:rPr>
              <w:br/>
            </w:r>
            <w:r w:rsidRPr="009D5AE9">
              <w:rPr>
                <w:rFonts w:cstheme="minorHAnsi"/>
                <w:b/>
                <w:bCs/>
              </w:rPr>
              <w:t>o przeciwdziałaniu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3AC44D09" w14:textId="366737F9" w:rsidR="00D2273F" w:rsidRPr="009D5AE9" w:rsidRDefault="00D2273F" w:rsidP="005E0113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 w:rsidRPr="009D5AE9">
              <w:rPr>
                <w:rFonts w:cstheme="minorHAns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9D5AE9">
              <w:rPr>
                <w:rFonts w:cstheme="minorHAnsi"/>
                <w:color w:val="000000" w:themeColor="text1"/>
              </w:rPr>
              <w:t xml:space="preserve"> </w:t>
            </w:r>
            <w:r w:rsidR="00EF20FF" w:rsidRPr="009D5AE9">
              <w:rPr>
                <w:rFonts w:cstheme="minorHAnsi"/>
                <w:color w:val="000000" w:themeColor="text1"/>
              </w:rPr>
              <w:t>(Dz. U. poz. 835</w:t>
            </w:r>
            <w:r w:rsidR="005E0113" w:rsidRPr="009D5AE9">
              <w:t xml:space="preserve"> </w:t>
            </w:r>
            <w:r w:rsidR="005E0113" w:rsidRPr="009D5AE9">
              <w:rPr>
                <w:rFonts w:cstheme="minorHAnsi"/>
                <w:color w:val="000000" w:themeColor="text1"/>
              </w:rPr>
              <w:t>z późn. zm.</w:t>
            </w:r>
            <w:r w:rsidR="00EF20FF" w:rsidRPr="009D5AE9">
              <w:rPr>
                <w:rFonts w:cstheme="minorHAnsi"/>
                <w:color w:val="000000" w:themeColor="text1"/>
              </w:rPr>
              <w:t>)</w:t>
            </w:r>
            <w:r w:rsidR="00B458A2" w:rsidRPr="009D5AE9">
              <w:rPr>
                <w:rFonts w:cstheme="minorHAnsi"/>
              </w:rPr>
              <w:t>;</w:t>
            </w:r>
          </w:p>
        </w:tc>
      </w:tr>
    </w:tbl>
    <w:p w14:paraId="6ECEBA38" w14:textId="341C4E8A" w:rsidR="00F422BF" w:rsidRPr="009D5AE9" w:rsidRDefault="00F422BF" w:rsidP="00A55FDE">
      <w:pPr>
        <w:spacing w:line="276" w:lineRule="auto"/>
        <w:rPr>
          <w:rFonts w:cstheme="minorHAnsi"/>
        </w:rPr>
      </w:pPr>
    </w:p>
    <w:p w14:paraId="3CFDE697" w14:textId="7383FC41" w:rsidR="00B458A2" w:rsidRPr="009D5AE9" w:rsidRDefault="00B458A2" w:rsidP="00A55FDE">
      <w:pPr>
        <w:spacing w:line="276" w:lineRule="auto"/>
        <w:rPr>
          <w:rFonts w:cstheme="minorHAnsi"/>
        </w:rPr>
      </w:pPr>
    </w:p>
    <w:p w14:paraId="29713BCE" w14:textId="31827145" w:rsidR="00F7473C" w:rsidRPr="009D5AE9" w:rsidRDefault="00F7473C">
      <w:pPr>
        <w:rPr>
          <w:rFonts w:cstheme="minorHAnsi"/>
        </w:rPr>
      </w:pPr>
      <w:r w:rsidRPr="009D5AE9">
        <w:rPr>
          <w:rFonts w:cstheme="minorHAnsi"/>
        </w:rPr>
        <w:br w:type="page"/>
      </w:r>
    </w:p>
    <w:p w14:paraId="1DC6756B" w14:textId="1D76B4F9" w:rsidR="00B458A2" w:rsidRPr="009D5AE9" w:rsidRDefault="007B16E7" w:rsidP="00A55FDE">
      <w:pPr>
        <w:spacing w:line="276" w:lineRule="auto"/>
        <w:jc w:val="center"/>
        <w:rPr>
          <w:rFonts w:cstheme="minorHAnsi"/>
        </w:rPr>
      </w:pPr>
      <w:r w:rsidRPr="009D5AE9">
        <w:rPr>
          <w:rFonts w:cstheme="minorHAnsi"/>
        </w:rPr>
        <w:lastRenderedPageBreak/>
        <w:t>[odrębny paragraf przed postanowieniami końcowymi</w:t>
      </w:r>
      <w:r w:rsidR="00F7473C" w:rsidRPr="009D5AE9">
        <w:rPr>
          <w:rFonts w:cstheme="minorHAnsi"/>
        </w:rPr>
        <w:t xml:space="preserve"> lub załącznik do Umowy</w:t>
      </w:r>
      <w:r w:rsidRPr="009D5AE9">
        <w:rPr>
          <w:rFonts w:cstheme="minorHAnsi"/>
        </w:rPr>
        <w:t>]</w:t>
      </w:r>
    </w:p>
    <w:p w14:paraId="1FD083F1" w14:textId="4B1D7993" w:rsidR="00B458A2" w:rsidRPr="009D5AE9" w:rsidRDefault="00B458A2" w:rsidP="00F7473C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9D5AE9">
        <w:rPr>
          <w:rFonts w:cstheme="minorHAnsi"/>
          <w:color w:val="000000" w:themeColor="text1"/>
          <w:szCs w:val="22"/>
        </w:rPr>
        <w:t>§</w:t>
      </w:r>
      <w:r w:rsidR="00AB6174">
        <w:rPr>
          <w:rFonts w:cstheme="minorHAnsi"/>
          <w:szCs w:val="22"/>
        </w:rPr>
        <w:t xml:space="preserve"> 1</w:t>
      </w:r>
    </w:p>
    <w:p w14:paraId="5053F88A" w14:textId="23416BC7" w:rsidR="00B458A2" w:rsidRPr="009D5AE9" w:rsidRDefault="00B458A2" w:rsidP="00F7473C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9D5AE9">
        <w:rPr>
          <w:rFonts w:cstheme="minorHAnsi"/>
          <w:szCs w:val="22"/>
        </w:rPr>
        <w:t>KLAUZULA SANKCYJNA</w:t>
      </w:r>
    </w:p>
    <w:p w14:paraId="40729C60" w14:textId="719FF085" w:rsidR="00B458A2" w:rsidRPr="009D5AE9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0" w:name="_Hlk52458150"/>
      <w:r w:rsidRPr="009D5AE9">
        <w:rPr>
          <w:rFonts w:cstheme="minorHAnsi"/>
        </w:rPr>
        <w:t>Celem postanowień</w:t>
      </w:r>
      <w:r w:rsidR="00B458A2" w:rsidRPr="009D5AE9">
        <w:rPr>
          <w:rFonts w:cstheme="minorHAnsi"/>
        </w:rPr>
        <w:t xml:space="preserve"> niniejszego paragrafu </w:t>
      </w:r>
      <w:r w:rsidRPr="009D5AE9">
        <w:rPr>
          <w:rFonts w:cstheme="minorHAnsi"/>
        </w:rPr>
        <w:t>jest</w:t>
      </w:r>
      <w:r w:rsidR="00B458A2" w:rsidRPr="009D5AE9">
        <w:rPr>
          <w:rFonts w:cstheme="minorHAnsi"/>
        </w:rPr>
        <w:t xml:space="preserve"> nie</w:t>
      </w:r>
      <w:r w:rsidR="00BF5B76" w:rsidRPr="009D5AE9">
        <w:rPr>
          <w:rFonts w:cstheme="minorHAnsi"/>
        </w:rPr>
        <w:t>dopuszczenie, by w wykonywaniu u</w:t>
      </w:r>
      <w:r w:rsidR="00B458A2" w:rsidRPr="009D5AE9">
        <w:rPr>
          <w:rFonts w:cstheme="minorHAnsi"/>
        </w:rPr>
        <w:t xml:space="preserve">mowy brały udział Podmioty Objęte Sankcjami.   </w:t>
      </w:r>
    </w:p>
    <w:p w14:paraId="07E5EB57" w14:textId="61A3AB22" w:rsidR="00B458A2" w:rsidRPr="009D5AE9" w:rsidRDefault="00B458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Wykonawca</w:t>
      </w:r>
      <w:r w:rsidR="005D0239" w:rsidRPr="009D5AE9">
        <w:rPr>
          <w:rFonts w:cstheme="minorHAnsi"/>
        </w:rPr>
        <w:t xml:space="preserve"> niniejszym</w:t>
      </w:r>
      <w:r w:rsidRPr="009D5AE9">
        <w:rPr>
          <w:rFonts w:cstheme="minorHAnsi"/>
        </w:rPr>
        <w:t xml:space="preserve"> o</w:t>
      </w:r>
      <w:r w:rsidR="00BF5B76" w:rsidRPr="009D5AE9">
        <w:rPr>
          <w:rFonts w:cstheme="minorHAnsi"/>
        </w:rPr>
        <w:t>świadcza, że na dzień zawarcia u</w:t>
      </w:r>
      <w:r w:rsidRPr="009D5AE9">
        <w:rPr>
          <w:rFonts w:cstheme="minorHAnsi"/>
        </w:rPr>
        <w:t>mowy:</w:t>
      </w:r>
    </w:p>
    <w:p w14:paraId="1A8221A1" w14:textId="63B91BAA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nie jest Podmiotem Objętym Sankcjami</w:t>
      </w:r>
      <w:r w:rsidR="0090103F" w:rsidRPr="009D5AE9">
        <w:rPr>
          <w:rFonts w:cstheme="minorHAnsi"/>
        </w:rPr>
        <w:t>;</w:t>
      </w:r>
      <w:r w:rsidRPr="009D5AE9">
        <w:rPr>
          <w:rFonts w:cstheme="minorHAnsi"/>
        </w:rPr>
        <w:t xml:space="preserve"> oraz</w:t>
      </w:r>
    </w:p>
    <w:p w14:paraId="0D50D9BC" w14:textId="0229C2A8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wartość świadczeń powierzonych do zrealizowania Podmiotom </w:t>
      </w:r>
      <w:r w:rsidR="00A02733" w:rsidRPr="009D5AE9">
        <w:rPr>
          <w:rFonts w:cstheme="minorHAnsi"/>
        </w:rPr>
        <w:t>Biorącym Udział</w:t>
      </w:r>
      <w:r w:rsidRPr="009D5AE9">
        <w:rPr>
          <w:rFonts w:cstheme="minorHAnsi"/>
        </w:rPr>
        <w:t xml:space="preserve">, które są Podmiotami Objętymi Sankcjami, liczona łącznie dla wszystkich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będących Podmiotami Objętymi Sankcjami, nie przekracza kwoty odpowiadającej 10% </w:t>
      </w:r>
      <w:r w:rsidR="00EA12D7" w:rsidRPr="009D5AE9">
        <w:rPr>
          <w:rFonts w:cstheme="minorHAnsi"/>
        </w:rPr>
        <w:t>wartości zamówieni</w:t>
      </w:r>
      <w:r w:rsidR="001D47E6" w:rsidRPr="009D5AE9">
        <w:rPr>
          <w:rFonts w:cstheme="minorHAnsi"/>
        </w:rPr>
        <w:t>a</w:t>
      </w:r>
      <w:r w:rsidR="00EA12D7" w:rsidRPr="009D5AE9">
        <w:rPr>
          <w:rFonts w:cstheme="minorHAnsi"/>
        </w:rPr>
        <w:t xml:space="preserve"> lub </w:t>
      </w:r>
      <w:r w:rsidRPr="009D5AE9">
        <w:rPr>
          <w:rFonts w:cstheme="minorHAnsi"/>
        </w:rPr>
        <w:t xml:space="preserve">maksymalnej wartości wynagrodzenia, jakie może być </w:t>
      </w:r>
      <w:r w:rsidR="00BF5B76" w:rsidRPr="009D5AE9">
        <w:rPr>
          <w:rFonts w:cstheme="minorHAnsi"/>
        </w:rPr>
        <w:t>należne Wykonawcy na podstawie u</w:t>
      </w:r>
      <w:r w:rsidRPr="009D5AE9">
        <w:rPr>
          <w:rFonts w:cstheme="minorHAnsi"/>
        </w:rPr>
        <w:t>mowy (</w:t>
      </w:r>
      <w:r w:rsidR="00720194" w:rsidRPr="009D5AE9">
        <w:rPr>
          <w:rFonts w:cstheme="minorHAnsi"/>
        </w:rPr>
        <w:t xml:space="preserve">z uwzględnieniem zmian wynagrodzenia w toku realizacji </w:t>
      </w:r>
      <w:r w:rsidR="00BF5B76" w:rsidRPr="009D5AE9">
        <w:rPr>
          <w:rFonts w:cstheme="minorHAnsi"/>
        </w:rPr>
        <w:t>u</w:t>
      </w:r>
      <w:r w:rsidR="00720194" w:rsidRPr="009D5AE9">
        <w:rPr>
          <w:rFonts w:cstheme="minorHAnsi"/>
        </w:rPr>
        <w:t xml:space="preserve">mowy, </w:t>
      </w:r>
      <w:r w:rsidR="00164C75" w:rsidRPr="009D5AE9">
        <w:rPr>
          <w:rFonts w:cstheme="minorHAnsi"/>
        </w:rPr>
        <w:t>w tym zmiany</w:t>
      </w:r>
      <w:r w:rsidRPr="009D5AE9">
        <w:rPr>
          <w:rFonts w:cstheme="minorHAnsi"/>
        </w:rPr>
        <w:t xml:space="preserve"> wynagrodzeni</w:t>
      </w:r>
      <w:r w:rsidR="00164C75" w:rsidRPr="009D5AE9">
        <w:rPr>
          <w:rFonts w:cstheme="minorHAnsi"/>
        </w:rPr>
        <w:t>a</w:t>
      </w:r>
      <w:r w:rsidRPr="009D5AE9">
        <w:rPr>
          <w:rFonts w:cstheme="minorHAnsi"/>
        </w:rPr>
        <w:t xml:space="preserve"> za zakresy objęte prawem opcji</w:t>
      </w:r>
      <w:r w:rsidR="00EA12D7" w:rsidRPr="009D5AE9">
        <w:rPr>
          <w:rFonts w:cstheme="minorHAnsi"/>
        </w:rPr>
        <w:t xml:space="preserve"> lub ustalone wskutek procedury zmiany</w:t>
      </w:r>
      <w:r w:rsidRPr="009D5AE9">
        <w:rPr>
          <w:rFonts w:cstheme="minorHAnsi"/>
        </w:rPr>
        <w:t>)</w:t>
      </w:r>
      <w:r w:rsidR="00EA12D7" w:rsidRPr="009D5AE9">
        <w:rPr>
          <w:rFonts w:cstheme="minorHAnsi"/>
        </w:rPr>
        <w:t>, w zależności</w:t>
      </w:r>
      <w:r w:rsidR="001D47E6" w:rsidRPr="009D5AE9">
        <w:rPr>
          <w:rFonts w:cstheme="minorHAnsi"/>
        </w:rPr>
        <w:t xml:space="preserve">, </w:t>
      </w:r>
      <w:r w:rsidR="00EA12D7" w:rsidRPr="009D5AE9">
        <w:rPr>
          <w:rFonts w:cstheme="minorHAnsi"/>
        </w:rPr>
        <w:t>która z tych wartości będzie niższa</w:t>
      </w:r>
      <w:r w:rsidRPr="009D5AE9">
        <w:rPr>
          <w:rFonts w:cstheme="minorHAnsi"/>
        </w:rPr>
        <w:t>,</w:t>
      </w:r>
    </w:p>
    <w:p w14:paraId="4D4A7743" w14:textId="6B5ACD6F" w:rsidR="00B458A2" w:rsidRPr="009D5AE9" w:rsidRDefault="00B458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Wykonawca zapewnia i gwarantuje,</w:t>
      </w:r>
      <w:r w:rsidR="00BF5B76" w:rsidRPr="009D5AE9">
        <w:rPr>
          <w:rFonts w:cstheme="minorHAnsi"/>
        </w:rPr>
        <w:t xml:space="preserve"> że w całym okresie realizacji u</w:t>
      </w:r>
      <w:r w:rsidRPr="009D5AE9">
        <w:rPr>
          <w:rFonts w:cstheme="minorHAnsi"/>
        </w:rPr>
        <w:t>mowy:</w:t>
      </w:r>
    </w:p>
    <w:p w14:paraId="3CCE3582" w14:textId="77777777" w:rsidR="00B458A2" w:rsidRPr="009D5AE9" w:rsidRDefault="00B458A2">
      <w:pPr>
        <w:pStyle w:val="Akapitzlist"/>
        <w:numPr>
          <w:ilvl w:val="1"/>
          <w:numId w:val="4"/>
        </w:numPr>
        <w:tabs>
          <w:tab w:val="left" w:pos="851"/>
        </w:tabs>
        <w:suppressAutoHyphens/>
        <w:autoSpaceDN w:val="0"/>
        <w:spacing w:before="120" w:after="120"/>
        <w:ind w:left="851" w:hanging="425"/>
        <w:contextualSpacing w:val="0"/>
        <w:jc w:val="both"/>
        <w:textAlignment w:val="baseline"/>
        <w:rPr>
          <w:rFonts w:asciiTheme="minorHAnsi" w:eastAsia="Calibri" w:hAnsiTheme="minorHAnsi" w:cstheme="minorHAnsi"/>
        </w:rPr>
      </w:pPr>
      <w:r w:rsidRPr="009D5AE9">
        <w:rPr>
          <w:rFonts w:asciiTheme="minorHAnsi" w:eastAsia="Calibri" w:hAnsiTheme="minorHAnsi" w:cstheme="minorHAnsi"/>
        </w:rPr>
        <w:t>nie będzie Podmiotem Objętym Sankcjami oraz</w:t>
      </w:r>
    </w:p>
    <w:p w14:paraId="4DE792D8" w14:textId="59575F3B" w:rsidR="00B458A2" w:rsidRPr="009D5AE9" w:rsidRDefault="00B458A2">
      <w:pPr>
        <w:numPr>
          <w:ilvl w:val="1"/>
          <w:numId w:val="4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wartość świadczeń powierzonych do zrealizowania Podmiotom </w:t>
      </w:r>
      <w:r w:rsidR="00A02733" w:rsidRPr="009D5AE9">
        <w:rPr>
          <w:rFonts w:cstheme="minorHAnsi"/>
        </w:rPr>
        <w:t>Biorącym Udział</w:t>
      </w:r>
      <w:r w:rsidRPr="009D5AE9">
        <w:rPr>
          <w:rFonts w:cstheme="minorHAnsi"/>
        </w:rPr>
        <w:t xml:space="preserve">, które są Podmiotami Objętymi Sankcjami (ani świadczeń zrealizowanych przez nie), liczona łącznie dla wszystkich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będących Podmiotami Objętymi Sankcjami, nie przekroczy w całym okresie wykonywania</w:t>
      </w:r>
      <w:r w:rsidRPr="009D5AE9" w:rsidDel="00E82FD6">
        <w:rPr>
          <w:rFonts w:cstheme="minorHAnsi"/>
        </w:rPr>
        <w:t xml:space="preserve">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kwoty odpowiadającej 10% </w:t>
      </w:r>
      <w:r w:rsidR="001F4B96" w:rsidRPr="009D5AE9">
        <w:rPr>
          <w:rFonts w:cstheme="minorHAnsi"/>
        </w:rPr>
        <w:t>wartości zamówienia lub maksymalnej wartości wynagrodzenia, jakie może być na</w:t>
      </w:r>
      <w:r w:rsidR="00BF5B76" w:rsidRPr="009D5AE9">
        <w:rPr>
          <w:rFonts w:cstheme="minorHAnsi"/>
        </w:rPr>
        <w:t>leżne Wykonawcy na podstawie u</w:t>
      </w:r>
      <w:r w:rsidR="001F4B96" w:rsidRPr="009D5AE9">
        <w:rPr>
          <w:rFonts w:cstheme="minorHAnsi"/>
        </w:rPr>
        <w:t>mowy (</w:t>
      </w:r>
      <w:r w:rsidR="00B40318" w:rsidRPr="009D5AE9">
        <w:rPr>
          <w:rFonts w:cstheme="minorHAnsi"/>
        </w:rPr>
        <w:t xml:space="preserve">z uwzględnieniem zmian wynagrodzenia w toku realizacji </w:t>
      </w:r>
      <w:r w:rsidR="00BF5B76" w:rsidRPr="009D5AE9">
        <w:rPr>
          <w:rFonts w:cstheme="minorHAnsi"/>
        </w:rPr>
        <w:t>u</w:t>
      </w:r>
      <w:r w:rsidR="00B40318" w:rsidRPr="009D5AE9">
        <w:rPr>
          <w:rFonts w:cstheme="minorHAnsi"/>
        </w:rPr>
        <w:t>mowy, w tym zmiany wynagrodzenia za zakresy objęte prawem opcji lub ustalone wskutek procedury zmiany</w:t>
      </w:r>
      <w:r w:rsidR="001F4B96" w:rsidRPr="009D5AE9">
        <w:rPr>
          <w:rFonts w:cstheme="minorHAnsi"/>
        </w:rPr>
        <w:t>), w zależności, która z tych wartości będzie niższa</w:t>
      </w:r>
      <w:r w:rsidRPr="009D5AE9">
        <w:rPr>
          <w:rFonts w:cstheme="minorHAnsi"/>
        </w:rPr>
        <w:t>,</w:t>
      </w:r>
    </w:p>
    <w:p w14:paraId="47F94169" w14:textId="4073BD1A" w:rsidR="00B458A2" w:rsidRPr="009D5AE9" w:rsidRDefault="004857AB" w:rsidP="00A55FDE">
      <w:pPr>
        <w:pStyle w:val="H7"/>
        <w:numPr>
          <w:ilvl w:val="0"/>
          <w:numId w:val="0"/>
        </w:numPr>
        <w:spacing w:line="276" w:lineRule="auto"/>
        <w:ind w:left="567"/>
        <w:rPr>
          <w:rFonts w:asciiTheme="minorHAnsi" w:hAnsiTheme="minorHAnsi" w:cstheme="minorHAnsi"/>
          <w:szCs w:val="22"/>
        </w:rPr>
      </w:pPr>
      <w:r w:rsidRPr="009D5AE9">
        <w:rPr>
          <w:rFonts w:asciiTheme="minorHAnsi" w:hAnsiTheme="minorHAnsi" w:cstheme="minorHAnsi"/>
          <w:szCs w:val="22"/>
        </w:rPr>
        <w:t xml:space="preserve">z wyłączeniem przypadków i w zakresie, w jakim uprzednio wydane zostanie, przewidziane w art. 5k ust. 2 Rozporządzenia 833/2014, zezwolenie na </w:t>
      </w:r>
      <w:r w:rsidR="00BA74C0" w:rsidRPr="009D5AE9">
        <w:rPr>
          <w:rFonts w:asciiTheme="minorHAnsi" w:hAnsiTheme="minorHAnsi" w:cstheme="minorHAnsi"/>
          <w:szCs w:val="22"/>
        </w:rPr>
        <w:t>dalsze</w:t>
      </w:r>
      <w:r w:rsidR="00BF5B76" w:rsidRPr="009D5AE9">
        <w:rPr>
          <w:rFonts w:asciiTheme="minorHAnsi" w:hAnsiTheme="minorHAnsi" w:cstheme="minorHAnsi"/>
          <w:szCs w:val="22"/>
        </w:rPr>
        <w:t xml:space="preserve"> wykonywanie u</w:t>
      </w:r>
      <w:r w:rsidRPr="009D5AE9">
        <w:rPr>
          <w:rFonts w:asciiTheme="minorHAnsi" w:hAnsiTheme="minorHAnsi" w:cstheme="minorHAnsi"/>
          <w:szCs w:val="22"/>
        </w:rPr>
        <w:t xml:space="preserve">mowy pomimo Objęcia Sankcjami Wykonawcy lub jego Podmiotów </w:t>
      </w:r>
      <w:r w:rsidR="00A02733" w:rsidRPr="009D5AE9">
        <w:rPr>
          <w:rFonts w:asciiTheme="minorHAnsi" w:hAnsiTheme="minorHAnsi" w:cstheme="minorHAnsi"/>
          <w:szCs w:val="22"/>
        </w:rPr>
        <w:t>Biorących Udział</w:t>
      </w:r>
      <w:r w:rsidRPr="009D5AE9">
        <w:rPr>
          <w:rFonts w:asciiTheme="minorHAnsi" w:hAnsiTheme="minorHAnsi" w:cstheme="minorHAnsi"/>
          <w:szCs w:val="22"/>
        </w:rPr>
        <w:t>.</w:t>
      </w:r>
    </w:p>
    <w:p w14:paraId="404F23EC" w14:textId="0B7DE240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zapewnia i gwarantuje, że w ramach wykonywania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>mowy ani Wykonawca</w:t>
      </w:r>
      <w:r w:rsidR="004078D9" w:rsidRPr="009D5AE9">
        <w:rPr>
          <w:rFonts w:cstheme="minorHAnsi"/>
        </w:rPr>
        <w:t>,</w:t>
      </w:r>
      <w:r w:rsidRPr="009D5AE9">
        <w:rPr>
          <w:rFonts w:cstheme="minorHAnsi"/>
        </w:rPr>
        <w:t xml:space="preserve"> ani żaden z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393BFE" w:rsidRPr="009D5AE9">
        <w:rPr>
          <w:rFonts w:cstheme="minorHAnsi"/>
        </w:rPr>
        <w:t xml:space="preserve"> oraz zobowiązuje się przestrzegać sankcji gospodarczych nałożonych na Federację Rosyjską i Białoruś wynikających z powołanych wyżej aktów w ich brzmieniu, w brzmieniu jakie może im być nadane w przyszłości,  jak również z innych aktów prawnych, jakie mogą zostać wydane w przyszłości przez Komisję Unii </w:t>
      </w:r>
      <w:r w:rsidR="00393BFE" w:rsidRPr="009D5AE9">
        <w:rPr>
          <w:rFonts w:cstheme="minorHAnsi"/>
        </w:rPr>
        <w:lastRenderedPageBreak/>
        <w:t>Europejskiej lub właściwe organy krajowe, a mających wpływ na relacje umowne ze Sprzedającym oraz zagwarantować przestrzeganie tych sankcji przez każdy z Podmiotów Biorących Udział</w:t>
      </w:r>
      <w:r w:rsidRPr="009D5AE9">
        <w:rPr>
          <w:rFonts w:cstheme="minorHAnsi"/>
        </w:rPr>
        <w:t>.</w:t>
      </w:r>
    </w:p>
    <w:p w14:paraId="5B1CB01B" w14:textId="263C9F50" w:rsidR="00B458A2" w:rsidRPr="009D5AE9" w:rsidRDefault="00B458A2" w:rsidP="00FE5F4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będzie składał </w:t>
      </w:r>
      <w:r w:rsidR="0017666F" w:rsidRPr="009D5AE9">
        <w:rPr>
          <w:rFonts w:cstheme="minorHAnsi"/>
        </w:rPr>
        <w:t xml:space="preserve"> </w:t>
      </w:r>
      <w:r w:rsidRPr="009D5AE9">
        <w:rPr>
          <w:rFonts w:cstheme="minorHAnsi"/>
        </w:rPr>
        <w:t xml:space="preserve">pisemne oświadczenia o braku Objęcia Sankcjami dotyczące Wykonawcy oraz jego Podmiotów </w:t>
      </w:r>
      <w:r w:rsidR="00A02733" w:rsidRPr="009D5AE9">
        <w:rPr>
          <w:rFonts w:cstheme="minorHAnsi"/>
        </w:rPr>
        <w:t>Biorących Udział</w:t>
      </w:r>
      <w:r w:rsidR="0017666F" w:rsidRPr="009D5AE9">
        <w:rPr>
          <w:rFonts w:cstheme="minorHAnsi"/>
        </w:rPr>
        <w:t xml:space="preserve"> zgodnie ze wzorem przekazanym przez Zamawiającego</w:t>
      </w:r>
      <w:r w:rsidR="00A809D1" w:rsidRPr="009D5AE9">
        <w:rPr>
          <w:rFonts w:cstheme="minorHAnsi"/>
        </w:rPr>
        <w:t xml:space="preserve"> </w:t>
      </w:r>
      <w:r w:rsidR="00BF5B76" w:rsidRPr="009D5AE9">
        <w:rPr>
          <w:rFonts w:cstheme="minorHAnsi"/>
        </w:rPr>
        <w:t xml:space="preserve"> w trakcie realizacji u</w:t>
      </w:r>
      <w:r w:rsidR="00A809D1" w:rsidRPr="009D5AE9">
        <w:rPr>
          <w:rFonts w:cstheme="minorHAnsi"/>
        </w:rPr>
        <w:t>mowy</w:t>
      </w:r>
      <w:r w:rsidR="000A0026" w:rsidRPr="009D5AE9">
        <w:rPr>
          <w:rFonts w:cstheme="minorHAnsi"/>
        </w:rPr>
        <w:t xml:space="preserve"> </w:t>
      </w:r>
      <w:r w:rsidRPr="009D5AE9">
        <w:rPr>
          <w:rFonts w:cstheme="minorHAnsi"/>
        </w:rPr>
        <w:t xml:space="preserve">na bieżąco, wraz z każdą przedkładaną fakturą, </w:t>
      </w:r>
      <w:r w:rsidR="000A0026" w:rsidRPr="009D5AE9">
        <w:rPr>
          <w:rFonts w:cstheme="minorHAnsi"/>
        </w:rPr>
        <w:t xml:space="preserve">a także </w:t>
      </w:r>
      <w:r w:rsidRPr="009D5AE9">
        <w:rPr>
          <w:rFonts w:cstheme="minorHAnsi"/>
        </w:rPr>
        <w:t>niezależnie</w:t>
      </w:r>
      <w:r w:rsidR="000A0026" w:rsidRPr="009D5AE9">
        <w:rPr>
          <w:rFonts w:cstheme="minorHAnsi"/>
        </w:rPr>
        <w:t xml:space="preserve"> na każdorazowe </w:t>
      </w:r>
      <w:r w:rsidRPr="009D5AE9">
        <w:rPr>
          <w:rFonts w:cstheme="minorHAnsi"/>
        </w:rPr>
        <w:t>żądanie Zamawiającego.</w:t>
      </w:r>
      <w:r w:rsidR="00A02733" w:rsidRPr="009D5AE9">
        <w:rPr>
          <w:rFonts w:cstheme="minorHAnsi"/>
        </w:rPr>
        <w:t xml:space="preserve"> Ponadto n</w:t>
      </w:r>
      <w:r w:rsidR="002B4D2F" w:rsidRPr="009D5AE9">
        <w:rPr>
          <w:rFonts w:cstheme="minorHAnsi"/>
        </w:rPr>
        <w:t xml:space="preserve">a żądanie Zamawiającego Wykonawca przedłoży Zamawiającemu, w terminie 14 </w:t>
      </w:r>
      <w:r w:rsidR="009A42FB" w:rsidRPr="009D5AE9">
        <w:rPr>
          <w:rFonts w:cstheme="minorHAnsi"/>
        </w:rPr>
        <w:t xml:space="preserve">(czternastu) </w:t>
      </w:r>
      <w:r w:rsidR="002B4D2F" w:rsidRPr="009D5AE9">
        <w:rPr>
          <w:rFonts w:cstheme="minorHAnsi"/>
        </w:rPr>
        <w:t xml:space="preserve">dni od otrzymania przez Wykonawcę żądania Zamawiającego, oświadczenia o braku Objęcia Sankcjami wszystkich lub wskazanych przez Zamawiającego Podmiotów </w:t>
      </w:r>
      <w:r w:rsidR="00A02733" w:rsidRPr="009D5AE9">
        <w:rPr>
          <w:rFonts w:cstheme="minorHAnsi"/>
        </w:rPr>
        <w:t>Biorących Udział</w:t>
      </w:r>
      <w:r w:rsidR="002B4D2F" w:rsidRPr="009D5AE9">
        <w:rPr>
          <w:rFonts w:cstheme="minorHAnsi"/>
        </w:rPr>
        <w:t>, zgodne</w:t>
      </w:r>
      <w:r w:rsidR="0017666F" w:rsidRPr="009D5AE9">
        <w:rPr>
          <w:rFonts w:cstheme="minorHAnsi"/>
        </w:rPr>
        <w:t xml:space="preserve"> z</w:t>
      </w:r>
      <w:r w:rsidR="002B4D2F" w:rsidRPr="009D5AE9">
        <w:rPr>
          <w:rFonts w:cstheme="minorHAnsi"/>
        </w:rPr>
        <w:t xml:space="preserve"> </w:t>
      </w:r>
      <w:r w:rsidR="0017666F" w:rsidRPr="009D5AE9">
        <w:rPr>
          <w:rFonts w:cstheme="minorHAnsi"/>
        </w:rPr>
        <w:t xml:space="preserve">wzorem stanowiącym Załącznik Nr … do </w:t>
      </w:r>
      <w:r w:rsidR="00BF5B76" w:rsidRPr="009D5AE9">
        <w:rPr>
          <w:rFonts w:cstheme="minorHAnsi"/>
        </w:rPr>
        <w:t>u</w:t>
      </w:r>
      <w:r w:rsidR="0017666F" w:rsidRPr="009D5AE9">
        <w:rPr>
          <w:rFonts w:cstheme="minorHAnsi"/>
        </w:rPr>
        <w:t xml:space="preserve">mowy albo zgodnie </w:t>
      </w:r>
      <w:r w:rsidR="002B4D2F" w:rsidRPr="009D5AE9">
        <w:rPr>
          <w:rFonts w:cstheme="minorHAnsi"/>
        </w:rPr>
        <w:t xml:space="preserve">ze wzorem przekazanym przez Zamawiającego w trakcie realizacji </w:t>
      </w:r>
      <w:r w:rsidR="00BF5B76" w:rsidRPr="009D5AE9">
        <w:rPr>
          <w:rFonts w:cstheme="minorHAnsi"/>
        </w:rPr>
        <w:t>u</w:t>
      </w:r>
      <w:r w:rsidR="002B4D2F" w:rsidRPr="009D5AE9">
        <w:rPr>
          <w:rFonts w:cstheme="minorHAnsi"/>
        </w:rPr>
        <w:t>mowy.</w:t>
      </w:r>
    </w:p>
    <w:bookmarkEnd w:id="0"/>
    <w:p w14:paraId="5152E1DA" w14:textId="7DEB1683" w:rsidR="00D63556" w:rsidRPr="009D5AE9" w:rsidRDefault="00D63556" w:rsidP="00D6355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Nieprzedłożenie któregokolwiek z oświadczeń, o których mowa w ust. 5 niniejszego paragrafu powoduje</w:t>
      </w:r>
      <w:r w:rsidR="00FE5F46" w:rsidRPr="009D5AE9">
        <w:rPr>
          <w:rFonts w:cstheme="minorHAnsi"/>
        </w:rPr>
        <w:t xml:space="preserve"> zamrożenie </w:t>
      </w:r>
      <w:r w:rsidRPr="009D5AE9">
        <w:rPr>
          <w:rFonts w:cstheme="minorHAnsi"/>
        </w:rPr>
        <w:t>środków finansowych z tytułu płatności i wstrzymanie płatności faktury (termin płatności należności objętej fakturą nie biegnie i należność objęta fakturą nie staje się wymagalna). Termin zapłaty należności objętej fakturą biegnie dopiero od momentu akceptacji przez  Zamawiającego wszystkich dokumentów wymaganych umową, w tym oświadczeń, o których mowa w ust. 5 niniejszego paragrafu.</w:t>
      </w:r>
    </w:p>
    <w:p w14:paraId="7BDC5A88" w14:textId="175F6E48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Wykonawca zapewnia i gwarantuje, że zawiadomi Zamawiającego, w sposób określony w ust. 8 niniejszego paragrafu, o każdej zmianie stanu rzeczy co do którego Wykonawca złożył oświadczenie, o którym mowa w ust. 2 niniejszego paragrafu, a w szczególności, że zawiadomi Zamawiającego, jeżeli</w:t>
      </w:r>
      <w:r w:rsidR="00007C64" w:rsidRPr="009D5AE9">
        <w:rPr>
          <w:rFonts w:cstheme="minorHAnsi"/>
        </w:rPr>
        <w:t>:</w:t>
      </w:r>
    </w:p>
    <w:p w14:paraId="4F8A079F" w14:textId="4BF88051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Wykonawca stanie się Podmiotem Objętym Sankcjami</w:t>
      </w:r>
      <w:r w:rsidR="00007C64" w:rsidRPr="009D5AE9">
        <w:rPr>
          <w:rFonts w:cstheme="minorHAnsi"/>
        </w:rPr>
        <w:t>;</w:t>
      </w:r>
      <w:r w:rsidRPr="009D5AE9">
        <w:rPr>
          <w:rFonts w:cstheme="minorHAnsi"/>
        </w:rPr>
        <w:t xml:space="preserve"> lub</w:t>
      </w:r>
    </w:p>
    <w:p w14:paraId="7D532E1B" w14:textId="28DF7671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wartość świadczeń powierzonych do zrealizowania wszystkim Podmiotom </w:t>
      </w:r>
      <w:r w:rsidR="00A02733" w:rsidRPr="009D5AE9">
        <w:rPr>
          <w:rFonts w:cstheme="minorHAnsi"/>
        </w:rPr>
        <w:t>Biorącym Udział</w:t>
      </w:r>
      <w:r w:rsidRPr="009D5AE9">
        <w:rPr>
          <w:rFonts w:cstheme="minorHAnsi"/>
        </w:rPr>
        <w:t xml:space="preserve"> będącym Podmiotami Objętymi Sankcjami (lub świadczeń zrealizowanych przez nie) liczona łącznie dla wszystkich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będących Podmiotami Objętymi Sankcjami, przekro</w:t>
      </w:r>
      <w:r w:rsidR="00BF5B76" w:rsidRPr="009D5AE9">
        <w:rPr>
          <w:rFonts w:cstheme="minorHAnsi"/>
        </w:rPr>
        <w:t>czy w całym okresie realizacji u</w:t>
      </w:r>
      <w:r w:rsidRPr="009D5AE9">
        <w:rPr>
          <w:rFonts w:cstheme="minorHAnsi"/>
        </w:rPr>
        <w:t xml:space="preserve">mowy kwotę odpowiadającą 10% </w:t>
      </w:r>
      <w:r w:rsidR="001F4B96" w:rsidRPr="009D5AE9">
        <w:rPr>
          <w:rFonts w:cstheme="minorHAnsi"/>
        </w:rPr>
        <w:t xml:space="preserve">wartości zamówienia lub maksymalnej wartości wynagrodzenia, jakie może być należne Wykonawcy na podstawie </w:t>
      </w:r>
      <w:r w:rsidR="00BF5B76" w:rsidRPr="009D5AE9">
        <w:rPr>
          <w:rFonts w:cstheme="minorHAnsi"/>
        </w:rPr>
        <w:t>u</w:t>
      </w:r>
      <w:r w:rsidR="001F4B96" w:rsidRPr="009D5AE9">
        <w:rPr>
          <w:rFonts w:cstheme="minorHAnsi"/>
        </w:rPr>
        <w:t>mowy (</w:t>
      </w:r>
      <w:r w:rsidR="00B40318" w:rsidRPr="009D5AE9">
        <w:rPr>
          <w:rFonts w:cstheme="minorHAnsi"/>
        </w:rPr>
        <w:t xml:space="preserve">z uwzględnieniem zmian wynagrodzenia w toku realizacji </w:t>
      </w:r>
      <w:r w:rsidR="00BF5B76" w:rsidRPr="009D5AE9">
        <w:rPr>
          <w:rFonts w:cstheme="minorHAnsi"/>
        </w:rPr>
        <w:t>u</w:t>
      </w:r>
      <w:r w:rsidR="00B40318" w:rsidRPr="009D5AE9">
        <w:rPr>
          <w:rFonts w:cstheme="minorHAnsi"/>
        </w:rPr>
        <w:t>mowy, w tym zmiany wynagrodzenia za zakresy objęte prawem opcji lub ustalone wskutek procedury zmiany</w:t>
      </w:r>
      <w:r w:rsidR="001F4B96" w:rsidRPr="009D5AE9">
        <w:rPr>
          <w:rFonts w:cstheme="minorHAnsi"/>
        </w:rPr>
        <w:t>), w zależności, która z tych wartości będzie niższa</w:t>
      </w:r>
      <w:r w:rsidRPr="009D5AE9">
        <w:rPr>
          <w:rFonts w:cstheme="minorHAnsi"/>
        </w:rPr>
        <w:t>.</w:t>
      </w:r>
    </w:p>
    <w:p w14:paraId="7B1CCFB8" w14:textId="41C8B7F7" w:rsidR="00B458A2" w:rsidRPr="009D5AE9" w:rsidRDefault="00B458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Wykonawca dokona zawiadomienia, o którym mowa w ust. 7, w formie pisemnej, w terminie 3 </w:t>
      </w:r>
      <w:r w:rsidR="001D3CF9" w:rsidRPr="009D5AE9">
        <w:rPr>
          <w:rFonts w:cstheme="minorHAnsi"/>
        </w:rPr>
        <w:t xml:space="preserve">(trzech) </w:t>
      </w:r>
      <w:r w:rsidR="00EB1CB8" w:rsidRPr="009D5AE9">
        <w:rPr>
          <w:rFonts w:cstheme="minorHAnsi"/>
        </w:rPr>
        <w:t>dni roboczych</w:t>
      </w:r>
      <w:r w:rsidRPr="009D5AE9">
        <w:rPr>
          <w:rFonts w:cstheme="minorHAnsi"/>
        </w:rPr>
        <w:t xml:space="preserve"> od dnia, w którym Wykonawca dowiedział się lub, przy dołożeniu </w:t>
      </w:r>
      <w:r w:rsidR="00EB1CB8" w:rsidRPr="009D5AE9">
        <w:rPr>
          <w:rFonts w:cstheme="minorHAnsi"/>
        </w:rPr>
        <w:t>najwyższej</w:t>
      </w:r>
      <w:r w:rsidRPr="009D5AE9">
        <w:rPr>
          <w:rFonts w:cstheme="minorHAnsi"/>
        </w:rPr>
        <w:t xml:space="preserve"> staranności, powinien dowiedzieć się o zaistnieniu podstaw do dokonania zawiadomienia.</w:t>
      </w:r>
    </w:p>
    <w:p w14:paraId="1B59C73F" w14:textId="434C0453" w:rsidR="00B458A2" w:rsidRPr="009D5AE9" w:rsidRDefault="00B458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 celu realizacji obowiązku, o którym mowa w ust. 7 niniejszego paragrafu, Wykonawca zapewni w szczególności, że każdy z jego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zawiadomi Wykonawcę, w formie pisemnej, o:</w:t>
      </w:r>
    </w:p>
    <w:p w14:paraId="5E3D8A09" w14:textId="77777777" w:rsidR="00B458A2" w:rsidRPr="009D5AE9" w:rsidRDefault="00B458A2">
      <w:pPr>
        <w:pStyle w:val="Akapitzlist"/>
        <w:numPr>
          <w:ilvl w:val="0"/>
          <w:numId w:val="6"/>
        </w:numPr>
        <w:tabs>
          <w:tab w:val="left" w:pos="426"/>
        </w:tabs>
        <w:suppressAutoHyphens/>
        <w:autoSpaceDN w:val="0"/>
        <w:spacing w:before="120" w:after="120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9D5AE9">
        <w:rPr>
          <w:rFonts w:asciiTheme="minorHAnsi" w:hAnsiTheme="minorHAnsi" w:cstheme="minorHAnsi"/>
        </w:rPr>
        <w:t>powstaniu stanu Objęcia go Sankcjami, jak również o</w:t>
      </w:r>
    </w:p>
    <w:p w14:paraId="79E5666A" w14:textId="77777777" w:rsidR="00B458A2" w:rsidRPr="009D5AE9" w:rsidRDefault="00B458A2">
      <w:pPr>
        <w:pStyle w:val="Akapitzlist"/>
        <w:numPr>
          <w:ilvl w:val="0"/>
          <w:numId w:val="6"/>
        </w:numPr>
        <w:tabs>
          <w:tab w:val="left" w:pos="426"/>
        </w:tabs>
        <w:suppressAutoHyphens/>
        <w:autoSpaceDN w:val="0"/>
        <w:spacing w:before="120" w:after="120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9D5AE9">
        <w:rPr>
          <w:rFonts w:asciiTheme="minorHAnsi" w:hAnsiTheme="minorHAnsi" w:cstheme="minorHAnsi"/>
        </w:rPr>
        <w:t>samym wystąpieniu ryzyka powstania takiej sytuacji,</w:t>
      </w:r>
    </w:p>
    <w:p w14:paraId="7096E6F8" w14:textId="01B312B6" w:rsidR="00B458A2" w:rsidRPr="009D5AE9" w:rsidRDefault="00B458A2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lastRenderedPageBreak/>
        <w:t xml:space="preserve">niezwłocznie, jednak nie później niż w terminie 3 </w:t>
      </w:r>
      <w:r w:rsidR="00E3189B" w:rsidRPr="009D5AE9">
        <w:rPr>
          <w:rFonts w:cstheme="minorHAnsi"/>
        </w:rPr>
        <w:t xml:space="preserve">(trzech) </w:t>
      </w:r>
      <w:r w:rsidR="00EB1CB8" w:rsidRPr="009D5AE9">
        <w:rPr>
          <w:rFonts w:cstheme="minorHAnsi"/>
        </w:rPr>
        <w:t>dni roboczych</w:t>
      </w:r>
      <w:r w:rsidRPr="009D5AE9">
        <w:rPr>
          <w:rFonts w:cstheme="minorHAnsi"/>
        </w:rPr>
        <w:t xml:space="preserve"> od dnia, w którym taki Podmiot </w:t>
      </w:r>
      <w:r w:rsidR="00A02733" w:rsidRPr="009D5AE9">
        <w:rPr>
          <w:rFonts w:cstheme="minorHAnsi"/>
        </w:rPr>
        <w:t xml:space="preserve">Biorący Udział </w:t>
      </w:r>
      <w:r w:rsidRPr="009D5AE9">
        <w:rPr>
          <w:rFonts w:cstheme="minorHAnsi"/>
        </w:rPr>
        <w:t xml:space="preserve">dowiedział się lub, przy dołożeniu należytej staranności, powinien dowiedzieć się o jego zaistnieniu lub wystąpieniu ryzyka powstania takiej sytuacji. </w:t>
      </w:r>
    </w:p>
    <w:p w14:paraId="682798AD" w14:textId="77777777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 przypadku, gdy:</w:t>
      </w:r>
    </w:p>
    <w:p w14:paraId="521903EE" w14:textId="77777777" w:rsidR="00B458A2" w:rsidRPr="009D5AE9" w:rsidRDefault="00B458A2" w:rsidP="00F7473C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stanie się Podmiotem Objętym Sankcjami, </w:t>
      </w:r>
    </w:p>
    <w:p w14:paraId="24B8AE8F" w14:textId="6C492E4F" w:rsidR="00B458A2" w:rsidRPr="009D5AE9" w:rsidRDefault="00B458A2" w:rsidP="00F7473C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wartość świadczeń powierzonych do zrealizowania wszystkim Podmiotom </w:t>
      </w:r>
      <w:r w:rsidR="00A02733" w:rsidRPr="009D5AE9">
        <w:rPr>
          <w:rFonts w:cstheme="minorHAnsi"/>
        </w:rPr>
        <w:t>Biorącym Udział</w:t>
      </w:r>
      <w:r w:rsidRPr="009D5AE9">
        <w:rPr>
          <w:rFonts w:cstheme="minorHAnsi"/>
        </w:rPr>
        <w:t xml:space="preserve"> będącym Podmiotami Objętymi Sankcjami (lub świadczeń zrealizowanych przez nie) liczona łącznie dla wszystkich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będących Podmiotami Objętymi Sankcjami, przekroczy kwotę odpowiadającą 10% </w:t>
      </w:r>
      <w:r w:rsidR="001F4B96" w:rsidRPr="009D5AE9">
        <w:rPr>
          <w:rFonts w:cstheme="minorHAnsi"/>
        </w:rPr>
        <w:t xml:space="preserve">wartości zamówienia lub maksymalnej wartości wynagrodzenia, jakie może być należne Wykonawcy na podstawie </w:t>
      </w:r>
      <w:r w:rsidR="00BF5B76" w:rsidRPr="009D5AE9">
        <w:rPr>
          <w:rFonts w:cstheme="minorHAnsi"/>
        </w:rPr>
        <w:t>u</w:t>
      </w:r>
      <w:r w:rsidR="001F4B96" w:rsidRPr="009D5AE9">
        <w:rPr>
          <w:rFonts w:cstheme="minorHAnsi"/>
        </w:rPr>
        <w:t>mowy (</w:t>
      </w:r>
      <w:r w:rsidR="00B40318" w:rsidRPr="009D5AE9">
        <w:rPr>
          <w:rFonts w:cstheme="minorHAnsi"/>
        </w:rPr>
        <w:t xml:space="preserve">z uwzględnieniem zmian wynagrodzenia w toku realizacji </w:t>
      </w:r>
      <w:r w:rsidR="00BF5B76" w:rsidRPr="009D5AE9">
        <w:rPr>
          <w:rFonts w:cstheme="minorHAnsi"/>
        </w:rPr>
        <w:t>u</w:t>
      </w:r>
      <w:r w:rsidR="00B40318" w:rsidRPr="009D5AE9">
        <w:rPr>
          <w:rFonts w:cstheme="minorHAnsi"/>
        </w:rPr>
        <w:t>mowy, w tym zmiany wynagrodzenia za zakresy objęte prawem opcji lub ustalone wskutek procedury zmiany</w:t>
      </w:r>
      <w:r w:rsidR="001F4B96" w:rsidRPr="009D5AE9">
        <w:rPr>
          <w:rFonts w:cstheme="minorHAnsi"/>
        </w:rPr>
        <w:t>), w zależności, która z tych wartości będzie niższa,</w:t>
      </w:r>
      <w:r w:rsidRPr="009D5AE9">
        <w:rPr>
          <w:rFonts w:cstheme="minorHAnsi"/>
        </w:rPr>
        <w:t xml:space="preserve"> lub</w:t>
      </w:r>
    </w:p>
    <w:p w14:paraId="5C0D6968" w14:textId="40C93FA4" w:rsidR="00B458A2" w:rsidRPr="009D5AE9" w:rsidRDefault="00B458A2" w:rsidP="00F7473C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doszło do naruszenia ust. </w:t>
      </w:r>
      <w:r w:rsidR="00DB3B90" w:rsidRPr="009D5AE9">
        <w:rPr>
          <w:rFonts w:cstheme="minorHAnsi"/>
        </w:rPr>
        <w:t xml:space="preserve">3 lub </w:t>
      </w:r>
      <w:r w:rsidRPr="009D5AE9">
        <w:rPr>
          <w:rFonts w:cstheme="minorHAnsi"/>
        </w:rPr>
        <w:t>4 niniejszego paragrafu,</w:t>
      </w:r>
    </w:p>
    <w:p w14:paraId="0991A33C" w14:textId="7B418B90" w:rsidR="00B458A2" w:rsidRPr="009D5AE9" w:rsidRDefault="00B458A2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a Wykonawca zawiadomi o tym fakcie Zamawiającego, Zamawiający może oświadczyć Wykonawcy o zawieszeniu wykonywania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na odpowiedni okres nieprzekraczający </w:t>
      </w:r>
      <w:r w:rsidR="006A6067" w:rsidRPr="009D5AE9">
        <w:rPr>
          <w:rFonts w:cstheme="minorHAnsi"/>
        </w:rPr>
        <w:t>3 (</w:t>
      </w:r>
      <w:r w:rsidRPr="009D5AE9">
        <w:rPr>
          <w:rFonts w:cstheme="minorHAnsi"/>
        </w:rPr>
        <w:t>trzech</w:t>
      </w:r>
      <w:r w:rsidR="006A6067" w:rsidRPr="009D5AE9">
        <w:rPr>
          <w:rFonts w:cstheme="minorHAnsi"/>
        </w:rPr>
        <w:t>)</w:t>
      </w:r>
      <w:r w:rsidRPr="009D5AE9">
        <w:rPr>
          <w:rFonts w:cstheme="minorHAnsi"/>
        </w:rPr>
        <w:t xml:space="preserve"> miesięcy, jednocześnie wzywając Wykonawcę do doprowadzenia do zmiany tych okoliczności lub określając zasady wystąpienia o uzyskanie przewidzianego w art. 5k ust. 2 Rozporządzenia 833/2014 zezwolenia na dalsze wykonywanie zamówienia. Wykonawca ma obowiązek zawiadomić Zamawiającego o usunięciu okoliczności stanowiących podstawę zawieszenia wykonywania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mowy. W przypadku bezskutecznego upływu wyznaczonego terminu Zamawiający może skorzystać ze wszystkich praw przewidzianych na mocy niniejszego paragrafu, w tym prawa do odstąpienia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>mowy i naliczenia kar umownych.</w:t>
      </w:r>
    </w:p>
    <w:p w14:paraId="332FF037" w14:textId="6EFA7352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 przypadku, gdy Zamawiający poweźmie uzasadnione wątpliwości co do tego, czy Wykonawca nie narusza ust. 3 lub 4 niniejszego paragrafu, Zamawiający może oświadczyć Wykonawcy o zawieszeniu wykonywania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na odpowiedni okres, nieprzekraczający </w:t>
      </w:r>
      <w:r w:rsidR="00D947BD" w:rsidRPr="009D5AE9">
        <w:rPr>
          <w:rFonts w:cstheme="minorHAnsi"/>
        </w:rPr>
        <w:t>3 (</w:t>
      </w:r>
      <w:r w:rsidRPr="009D5AE9">
        <w:rPr>
          <w:rFonts w:cstheme="minorHAnsi"/>
        </w:rPr>
        <w:t>trzech</w:t>
      </w:r>
      <w:r w:rsidR="00D947BD" w:rsidRPr="009D5AE9">
        <w:rPr>
          <w:rFonts w:cstheme="minorHAnsi"/>
        </w:rPr>
        <w:t>)</w:t>
      </w:r>
      <w:r w:rsidRPr="009D5AE9">
        <w:rPr>
          <w:rFonts w:cstheme="minorHAnsi"/>
        </w:rPr>
        <w:t xml:space="preserve"> miesięcy. W razie potwierdzenia braku naruszeń, Zamawiający oświadczy o wznowieniu wykonywania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mowy. W przypadku potwierdzenia naruszeń, Zamawiający może skorzystać ze wszystkich praw przewidzianych na mocy niniejszego paragrafu, w tym prawa do odstąpienia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>mowy i naliczenia kar umownych.</w:t>
      </w:r>
    </w:p>
    <w:p w14:paraId="511F4964" w14:textId="155B46F6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Oświadczenie o zawieszeniu wymaga zachowania formy pisemnej. W okresie zawieszenia Wykonawca ma obowiązek całkowitego wstrzymania realizacji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mowy, za wyjątkiem wykonania czynności niezbędnych dla ochrony interesów Zamawiającego związanych z realizacją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>mowy (dokończenie procesów technologicznych, prace zabezpieczające, dokonanie czynności niezbędnych dla dochowania terminów ustawowych lub procesowych itp.).</w:t>
      </w:r>
    </w:p>
    <w:p w14:paraId="384F723F" w14:textId="38A4591E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Zamawiający może odstąpić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>mowy w każdym z następujących przypadków</w:t>
      </w:r>
      <w:r w:rsidR="0015703B" w:rsidRPr="009D5AE9">
        <w:rPr>
          <w:rFonts w:cstheme="minorHAnsi"/>
        </w:rPr>
        <w:t>,</w:t>
      </w:r>
      <w:r w:rsidR="001D1AA2" w:rsidRPr="009D5AE9">
        <w:rPr>
          <w:rFonts w:cstheme="minorHAnsi"/>
        </w:rPr>
        <w:t xml:space="preserve"> tj. gdy</w:t>
      </w:r>
      <w:r w:rsidRPr="009D5AE9">
        <w:rPr>
          <w:rFonts w:cstheme="minorHAnsi"/>
        </w:rPr>
        <w:t>:</w:t>
      </w:r>
    </w:p>
    <w:p w14:paraId="5ADEAA76" w14:textId="122E545C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oświadczeni</w:t>
      </w:r>
      <w:r w:rsidR="00D302C4" w:rsidRPr="009D5AE9">
        <w:rPr>
          <w:rFonts w:cstheme="minorHAnsi"/>
        </w:rPr>
        <w:t>a</w:t>
      </w:r>
      <w:r w:rsidRPr="009D5AE9">
        <w:rPr>
          <w:rFonts w:cstheme="minorHAnsi"/>
        </w:rPr>
        <w:t xml:space="preserve"> Wykonawcy zawarte w ust. 2</w:t>
      </w:r>
      <w:r w:rsidR="00DB3B90" w:rsidRPr="009D5AE9">
        <w:rPr>
          <w:rFonts w:cstheme="minorHAnsi"/>
        </w:rPr>
        <w:t>, 3 lub 4</w:t>
      </w:r>
      <w:r w:rsidRPr="009D5AE9">
        <w:rPr>
          <w:rFonts w:cstheme="minorHAnsi"/>
        </w:rPr>
        <w:t xml:space="preserve"> niniejszego paragrafu lub oświadczeni</w:t>
      </w:r>
      <w:r w:rsidR="00D302C4" w:rsidRPr="009D5AE9">
        <w:rPr>
          <w:rFonts w:cstheme="minorHAnsi"/>
        </w:rPr>
        <w:t>a</w:t>
      </w:r>
      <w:r w:rsidRPr="009D5AE9">
        <w:rPr>
          <w:rFonts w:cstheme="minorHAnsi"/>
        </w:rPr>
        <w:t xml:space="preserve"> Wykonawcy</w:t>
      </w:r>
      <w:r w:rsidR="00D302C4" w:rsidRPr="009D5AE9">
        <w:rPr>
          <w:rFonts w:cstheme="minorHAnsi"/>
        </w:rPr>
        <w:t xml:space="preserve"> lub Podmiotów Biorących Udział,</w:t>
      </w:r>
      <w:r w:rsidRPr="009D5AE9">
        <w:rPr>
          <w:rFonts w:cstheme="minorHAnsi"/>
        </w:rPr>
        <w:t xml:space="preserve"> złożone w myśl ust. 5 okaże się </w:t>
      </w:r>
      <w:r w:rsidR="00C95650" w:rsidRPr="009D5AE9">
        <w:rPr>
          <w:rFonts w:cstheme="minorHAnsi"/>
        </w:rPr>
        <w:t>nieprawdziwe</w:t>
      </w:r>
      <w:r w:rsidRPr="009D5AE9">
        <w:rPr>
          <w:rFonts w:cstheme="minorHAnsi"/>
        </w:rPr>
        <w:t>,</w:t>
      </w:r>
    </w:p>
    <w:p w14:paraId="2B3E46F6" w14:textId="4E4DA4EB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jest Podmiotem Objętym Sankcjami lub wartość świadczeń powierzonych do zrealizowania wszystkim Podmiotom </w:t>
      </w:r>
      <w:r w:rsidR="00A02733" w:rsidRPr="009D5AE9">
        <w:rPr>
          <w:rFonts w:cstheme="minorHAnsi"/>
        </w:rPr>
        <w:t>Biorącym Udział</w:t>
      </w:r>
      <w:r w:rsidRPr="009D5AE9">
        <w:rPr>
          <w:rFonts w:cstheme="minorHAnsi"/>
        </w:rPr>
        <w:t xml:space="preserve"> będącym Podmiotami Objętymi Sankcjami (lub świadczeń zrealizowanych przez nie) liczona łącznie dla wszystkich Podmiotów </w:t>
      </w:r>
      <w:r w:rsidR="00A02733" w:rsidRPr="009D5AE9">
        <w:rPr>
          <w:rFonts w:cstheme="minorHAnsi"/>
        </w:rPr>
        <w:lastRenderedPageBreak/>
        <w:t>Biorących Udział</w:t>
      </w:r>
      <w:r w:rsidRPr="009D5AE9">
        <w:rPr>
          <w:rFonts w:cstheme="minorHAnsi"/>
        </w:rPr>
        <w:t xml:space="preserve"> będących Podmiotami Objętymi Sankcjami przekro</w:t>
      </w:r>
      <w:r w:rsidR="00BF5B76" w:rsidRPr="009D5AE9">
        <w:rPr>
          <w:rFonts w:cstheme="minorHAnsi"/>
        </w:rPr>
        <w:t>czy w całym okresie realizacji u</w:t>
      </w:r>
      <w:r w:rsidRPr="009D5AE9">
        <w:rPr>
          <w:rFonts w:cstheme="minorHAnsi"/>
        </w:rPr>
        <w:t xml:space="preserve">mowy kwotę odpowiadającą 10% </w:t>
      </w:r>
      <w:r w:rsidR="001F4B96" w:rsidRPr="009D5AE9">
        <w:rPr>
          <w:rFonts w:cstheme="minorHAnsi"/>
        </w:rPr>
        <w:t xml:space="preserve">wartości zamówienia lub maksymalnej wartości wynagrodzenia, jakie może być należne Wykonawcy na podstawie </w:t>
      </w:r>
      <w:r w:rsidR="00BF5B76" w:rsidRPr="009D5AE9">
        <w:rPr>
          <w:rFonts w:cstheme="minorHAnsi"/>
        </w:rPr>
        <w:t>u</w:t>
      </w:r>
      <w:r w:rsidR="001F4B96" w:rsidRPr="009D5AE9">
        <w:rPr>
          <w:rFonts w:cstheme="minorHAnsi"/>
        </w:rPr>
        <w:t>mowy (</w:t>
      </w:r>
      <w:r w:rsidR="00E108C3" w:rsidRPr="009D5AE9">
        <w:rPr>
          <w:rFonts w:cstheme="minorHAnsi"/>
        </w:rPr>
        <w:t xml:space="preserve">z uwzględnieniem zmian wynagrodzenia w toku realizacji </w:t>
      </w:r>
      <w:r w:rsidR="00BF5B76" w:rsidRPr="009D5AE9">
        <w:rPr>
          <w:rFonts w:cstheme="minorHAnsi"/>
        </w:rPr>
        <w:t>u</w:t>
      </w:r>
      <w:r w:rsidR="00E108C3" w:rsidRPr="009D5AE9">
        <w:rPr>
          <w:rFonts w:cstheme="minorHAnsi"/>
        </w:rPr>
        <w:t>mowy, w tym zmiany wynagrodzenia za zakresy objęte prawem opcji lub ustalone wskutek procedury zmiany</w:t>
      </w:r>
      <w:r w:rsidR="001F4B96" w:rsidRPr="009D5AE9">
        <w:rPr>
          <w:rFonts w:cstheme="minorHAnsi"/>
        </w:rPr>
        <w:t>), w zależności, która z tych wartości będzie niższa</w:t>
      </w:r>
      <w:r w:rsidRPr="009D5AE9">
        <w:rPr>
          <w:rFonts w:cstheme="minorHAnsi"/>
        </w:rPr>
        <w:t>,</w:t>
      </w:r>
    </w:p>
    <w:p w14:paraId="0F3519E5" w14:textId="69B1EC10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naruszy zobowiązanie wynikające z ust. </w:t>
      </w:r>
      <w:r w:rsidR="00DB3B90" w:rsidRPr="009D5AE9">
        <w:rPr>
          <w:rFonts w:cstheme="minorHAnsi"/>
        </w:rPr>
        <w:t xml:space="preserve">3 lub </w:t>
      </w:r>
      <w:r w:rsidRPr="009D5AE9">
        <w:rPr>
          <w:rFonts w:cstheme="minorHAnsi"/>
        </w:rPr>
        <w:t>4 niniejszego paragrafu</w:t>
      </w:r>
      <w:r w:rsidR="00BD31D1" w:rsidRPr="009D5AE9">
        <w:rPr>
          <w:rFonts w:cstheme="minorHAnsi"/>
        </w:rPr>
        <w:t>,</w:t>
      </w:r>
      <w:r w:rsidRPr="009D5AE9">
        <w:rPr>
          <w:rFonts w:cstheme="minorHAnsi"/>
        </w:rPr>
        <w:t xml:space="preserve"> lub</w:t>
      </w:r>
    </w:p>
    <w:p w14:paraId="032F2775" w14:textId="5786DF3C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nie złoży Zamawiającemu oświadczenia, o którym mowa w ust. 5 niniejszego paragrafu i to pomimo ponownego wezwania Wykonawcy do złożenia takiego oświadczenia i wyznaczenia na to dodatkowego terminu nie krótszego niż 3 </w:t>
      </w:r>
      <w:r w:rsidR="00D62188" w:rsidRPr="009D5AE9">
        <w:rPr>
          <w:rFonts w:cstheme="minorHAnsi"/>
        </w:rPr>
        <w:t xml:space="preserve">(trzy) </w:t>
      </w:r>
      <w:r w:rsidR="00EB1CB8" w:rsidRPr="009D5AE9">
        <w:rPr>
          <w:rFonts w:cstheme="minorHAnsi"/>
        </w:rPr>
        <w:t>dni robocze</w:t>
      </w:r>
      <w:r w:rsidRPr="009D5AE9">
        <w:rPr>
          <w:rFonts w:cstheme="minorHAnsi"/>
        </w:rPr>
        <w:t>.</w:t>
      </w:r>
    </w:p>
    <w:p w14:paraId="4836617E" w14:textId="3C4082AB" w:rsidR="00BF5B76" w:rsidRPr="009D5AE9" w:rsidRDefault="00BF5B76" w:rsidP="00BF5B76">
      <w:pPr>
        <w:tabs>
          <w:tab w:val="left" w:pos="426"/>
        </w:tabs>
        <w:suppressAutoHyphens/>
        <w:autoSpaceDN w:val="0"/>
        <w:spacing w:before="120" w:after="120"/>
        <w:ind w:left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PGE może złożyć oświadczenie o odstąpieniu od umowy na tej podstawie w terminie </w:t>
      </w:r>
      <w:r w:rsidR="00AB6174">
        <w:rPr>
          <w:rFonts w:cstheme="minorHAnsi"/>
          <w:color w:val="000000"/>
        </w:rPr>
        <w:t>3</w:t>
      </w:r>
      <w:r w:rsidRPr="009D5AE9">
        <w:rPr>
          <w:rFonts w:cstheme="minorHAnsi"/>
          <w:color w:val="000000"/>
        </w:rPr>
        <w:t xml:space="preserve"> </w:t>
      </w:r>
      <w:r w:rsidRPr="009D5AE9">
        <w:rPr>
          <w:rFonts w:cstheme="minorHAnsi"/>
        </w:rPr>
        <w:t>miesięcy od powzięcia wiadomości o okoliczności stanowiącej podstawę odstąpienia, nie później jednak niż do dnia zakończenia obowiązywania umowy.</w:t>
      </w:r>
    </w:p>
    <w:p w14:paraId="5BF40F05" w14:textId="286B33DB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Odstępując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na podstawie ust. 13 niniejszego paragrafu Zamawiający może wybrać, czy odstępuje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ze skutkiem </w:t>
      </w:r>
      <w:r w:rsidRPr="009D5AE9">
        <w:rPr>
          <w:rFonts w:cstheme="minorHAnsi"/>
          <w:i/>
        </w:rPr>
        <w:t>ex tunc</w:t>
      </w:r>
      <w:r w:rsidRPr="009D5AE9">
        <w:rPr>
          <w:rFonts w:cstheme="minorHAnsi"/>
        </w:rPr>
        <w:t xml:space="preserve"> czy </w:t>
      </w:r>
      <w:r w:rsidRPr="009D5AE9">
        <w:rPr>
          <w:rFonts w:cstheme="minorHAnsi"/>
          <w:i/>
        </w:rPr>
        <w:t>ex nunc</w:t>
      </w:r>
      <w:r w:rsidRPr="009D5AE9">
        <w:rPr>
          <w:rFonts w:cstheme="minorHAnsi"/>
        </w:rPr>
        <w:t xml:space="preserve"> oraz czy w przypadku odstąpienia ze skutkiem </w:t>
      </w:r>
      <w:r w:rsidRPr="009D5AE9">
        <w:rPr>
          <w:rFonts w:cstheme="minorHAnsi"/>
          <w:i/>
        </w:rPr>
        <w:t>ex nunc</w:t>
      </w:r>
      <w:r w:rsidRPr="009D5AE9">
        <w:rPr>
          <w:rFonts w:cstheme="minorHAnsi"/>
        </w:rPr>
        <w:t>, czy odstępuje w zakresie całej części niewykonanej</w:t>
      </w:r>
      <w:r w:rsidR="00BC6758" w:rsidRPr="009D5AE9">
        <w:rPr>
          <w:rFonts w:cstheme="minorHAnsi"/>
        </w:rPr>
        <w:t xml:space="preserve"> umowy</w:t>
      </w:r>
      <w:r w:rsidRPr="009D5AE9">
        <w:rPr>
          <w:rFonts w:cstheme="minorHAnsi"/>
        </w:rPr>
        <w:t>, czy tylko w określonym zakresie części niewykonanej</w:t>
      </w:r>
      <w:r w:rsidR="00BC6758" w:rsidRPr="009D5AE9">
        <w:rPr>
          <w:rFonts w:cstheme="minorHAnsi"/>
        </w:rPr>
        <w:t xml:space="preserve"> umowy</w:t>
      </w:r>
      <w:r w:rsidRPr="009D5AE9">
        <w:rPr>
          <w:rFonts w:cstheme="minorHAnsi"/>
        </w:rPr>
        <w:t>. Zamawiający oznaczy swój wybór w tym zakresie w treści oświadczenia o odstąpieniu.</w:t>
      </w:r>
    </w:p>
    <w:p w14:paraId="3CF11041" w14:textId="5E3DA900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Odstąpienie dokonane na podstawie postanowień niniejszego paragrafu stanowi odstąpienie z przyczyn leżących po stronie Wykonawcy.</w:t>
      </w:r>
      <w:r w:rsidR="009B4C4A" w:rsidRPr="009D5AE9">
        <w:rPr>
          <w:rFonts w:cstheme="minorHAnsi"/>
        </w:rPr>
        <w:t xml:space="preserve"> Dla uniknięcia wątpliwości, w </w:t>
      </w:r>
      <w:r w:rsidR="005B495C" w:rsidRPr="009D5AE9">
        <w:rPr>
          <w:rFonts w:cstheme="minorHAnsi"/>
        </w:rPr>
        <w:t>przypadku,</w:t>
      </w:r>
      <w:r w:rsidR="009B4C4A" w:rsidRPr="009D5AE9">
        <w:rPr>
          <w:rFonts w:cstheme="minorHAnsi"/>
        </w:rPr>
        <w:t xml:space="preserve"> </w:t>
      </w:r>
      <w:r w:rsidR="005B495C" w:rsidRPr="009D5AE9">
        <w:rPr>
          <w:rFonts w:cstheme="minorHAnsi"/>
        </w:rPr>
        <w:t>gdy Zamawiający</w:t>
      </w:r>
      <w:r w:rsidR="009B4C4A" w:rsidRPr="009D5AE9">
        <w:rPr>
          <w:rFonts w:cstheme="minorHAnsi"/>
        </w:rPr>
        <w:t xml:space="preserve"> odstąpi od </w:t>
      </w:r>
      <w:r w:rsidR="00BF5B76" w:rsidRPr="009D5AE9">
        <w:rPr>
          <w:rFonts w:cstheme="minorHAnsi"/>
        </w:rPr>
        <w:t>u</w:t>
      </w:r>
      <w:r w:rsidR="009B4C4A" w:rsidRPr="009D5AE9">
        <w:rPr>
          <w:rFonts w:cstheme="minorHAnsi"/>
        </w:rPr>
        <w:t>mowy na podstawie niniejszego paragrafu, Zamawiający będzie uprawniony do naliczenia kary umownej</w:t>
      </w:r>
      <w:r w:rsidR="00F00720" w:rsidRPr="009D5AE9">
        <w:rPr>
          <w:rFonts w:cstheme="minorHAnsi"/>
        </w:rPr>
        <w:t>,</w:t>
      </w:r>
      <w:r w:rsidR="009B4C4A" w:rsidRPr="009D5AE9">
        <w:rPr>
          <w:rFonts w:cstheme="minorHAnsi"/>
        </w:rPr>
        <w:t xml:space="preserve"> o której mowa w </w:t>
      </w:r>
      <w:r w:rsidR="005B495C" w:rsidRPr="009D5AE9">
        <w:rPr>
          <w:rFonts w:ascii="Calibri" w:hAnsi="Calibri" w:cs="Calibri"/>
          <w:color w:val="000000"/>
        </w:rPr>
        <w:t>§</w:t>
      </w:r>
      <w:r w:rsidR="00AB6174">
        <w:rPr>
          <w:rFonts w:ascii="Calibri" w:hAnsi="Calibri" w:cs="Calibri"/>
          <w:color w:val="000000"/>
        </w:rPr>
        <w:t>9 ust. 2</w:t>
      </w:r>
      <w:r w:rsidR="00BF5B76" w:rsidRPr="009D5AE9">
        <w:rPr>
          <w:rFonts w:ascii="Calibri" w:hAnsi="Calibri" w:cs="Calibri"/>
          <w:color w:val="000000"/>
        </w:rPr>
        <w:t>u</w:t>
      </w:r>
      <w:r w:rsidR="005B495C" w:rsidRPr="009D5AE9">
        <w:rPr>
          <w:rFonts w:ascii="Calibri" w:hAnsi="Calibri" w:cs="Calibri"/>
          <w:color w:val="000000"/>
        </w:rPr>
        <w:t>mowy</w:t>
      </w:r>
      <w:r w:rsidR="00FE04AE" w:rsidRPr="009D5AE9">
        <w:rPr>
          <w:rFonts w:ascii="Calibri" w:hAnsi="Calibri" w:cs="Calibri"/>
          <w:color w:val="000000"/>
        </w:rPr>
        <w:t>.</w:t>
      </w:r>
    </w:p>
    <w:p w14:paraId="07095480" w14:textId="664F5339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 przypadku odstąpienia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na podstawie postanowień niniejszego paragrafu </w:t>
      </w:r>
      <w:r w:rsidR="00522533">
        <w:rPr>
          <w:rFonts w:cstheme="minorHAnsi"/>
        </w:rPr>
        <w:t xml:space="preserve">odpowiednie </w:t>
      </w:r>
      <w:r w:rsidRPr="009D5AE9">
        <w:rPr>
          <w:rFonts w:cstheme="minorHAnsi"/>
        </w:rPr>
        <w:t xml:space="preserve">zastosowanie znajdują postanowienia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dotyczące skutków odstąpienia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i postępowania po odstąpieniu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>mowy.</w:t>
      </w:r>
    </w:p>
    <w:p w14:paraId="0BFB5F89" w14:textId="2ABAF109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Zamawiający może naliczyć Wy</w:t>
      </w:r>
      <w:r w:rsidR="00AB6174">
        <w:rPr>
          <w:rFonts w:cstheme="minorHAnsi"/>
        </w:rPr>
        <w:t>konawcy karę umowną w wysokości 0,01</w:t>
      </w:r>
      <w:r w:rsidRPr="009D5AE9">
        <w:rPr>
          <w:rFonts w:cstheme="minorHAnsi"/>
        </w:rPr>
        <w:t xml:space="preserve">% </w:t>
      </w:r>
      <w:r w:rsidR="00EA12D7" w:rsidRPr="009D5AE9">
        <w:rPr>
          <w:rFonts w:cstheme="minorHAnsi"/>
        </w:rPr>
        <w:t xml:space="preserve">Wynagrodzenia netto </w:t>
      </w:r>
      <w:r w:rsidRPr="009D5AE9">
        <w:rPr>
          <w:rFonts w:cstheme="minorHAnsi"/>
        </w:rPr>
        <w:t xml:space="preserve">w </w:t>
      </w:r>
      <w:r w:rsidR="00C1530C" w:rsidRPr="009D5AE9">
        <w:rPr>
          <w:rFonts w:cstheme="minorHAnsi"/>
        </w:rPr>
        <w:t xml:space="preserve">każdym z następujących </w:t>
      </w:r>
      <w:r w:rsidRPr="009D5AE9">
        <w:rPr>
          <w:rFonts w:cstheme="minorHAnsi"/>
        </w:rPr>
        <w:t>przypadk</w:t>
      </w:r>
      <w:r w:rsidR="00C1530C" w:rsidRPr="009D5AE9">
        <w:rPr>
          <w:rFonts w:cstheme="minorHAnsi"/>
        </w:rPr>
        <w:t>ów</w:t>
      </w:r>
      <w:r w:rsidRPr="009D5AE9">
        <w:rPr>
          <w:rFonts w:cstheme="minorHAnsi"/>
        </w:rPr>
        <w:t xml:space="preserve">, </w:t>
      </w:r>
      <w:r w:rsidR="001D1AA2" w:rsidRPr="009D5AE9">
        <w:rPr>
          <w:rFonts w:cstheme="minorHAnsi"/>
        </w:rPr>
        <w:t xml:space="preserve">tj. </w:t>
      </w:r>
      <w:r w:rsidRPr="009D5AE9">
        <w:rPr>
          <w:rFonts w:cstheme="minorHAnsi"/>
        </w:rPr>
        <w:t>gdy:</w:t>
      </w:r>
    </w:p>
    <w:p w14:paraId="458CC49D" w14:textId="564645EF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oświadczenie Wykonawcy, o którym mowa w ust. 2</w:t>
      </w:r>
      <w:r w:rsidR="00DB3B90" w:rsidRPr="009D5AE9">
        <w:rPr>
          <w:rFonts w:cstheme="minorHAnsi"/>
        </w:rPr>
        <w:t>, 3, 4</w:t>
      </w:r>
      <w:r w:rsidRPr="009D5AE9">
        <w:rPr>
          <w:rFonts w:cstheme="minorHAnsi"/>
        </w:rPr>
        <w:t xml:space="preserve"> lub oświadczenie Wykonawcy złożone w myśl ust. 5 niniejszego paragrafu</w:t>
      </w:r>
      <w:r w:rsidR="00DB3B90" w:rsidRPr="009D5AE9">
        <w:rPr>
          <w:rFonts w:cstheme="minorHAnsi"/>
        </w:rPr>
        <w:t>,</w:t>
      </w:r>
      <w:r w:rsidRPr="009D5AE9">
        <w:rPr>
          <w:rFonts w:cstheme="minorHAnsi"/>
        </w:rPr>
        <w:t xml:space="preserve"> okaże się </w:t>
      </w:r>
      <w:r w:rsidR="000B0CAA" w:rsidRPr="009D5AE9">
        <w:rPr>
          <w:rFonts w:cstheme="minorHAnsi"/>
        </w:rPr>
        <w:t>nieprawdziwe</w:t>
      </w:r>
      <w:r w:rsidRPr="009D5AE9">
        <w:rPr>
          <w:rFonts w:cstheme="minorHAnsi"/>
        </w:rPr>
        <w:t>,</w:t>
      </w:r>
    </w:p>
    <w:p w14:paraId="445F9D91" w14:textId="4CE1B8D2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stanie się po zawarciu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Podmiotem Objętym Sankcjami </w:t>
      </w:r>
      <w:r w:rsidR="0003156E" w:rsidRPr="009D5AE9">
        <w:rPr>
          <w:rFonts w:cstheme="minorHAnsi"/>
        </w:rPr>
        <w:t xml:space="preserve"> lub </w:t>
      </w:r>
      <w:r w:rsidRPr="009D5AE9">
        <w:rPr>
          <w:rFonts w:cstheme="minorHAnsi"/>
        </w:rPr>
        <w:t xml:space="preserve"> nie dokona zawiadomienia, o którym mowa w ust. 7</w:t>
      </w:r>
      <w:r w:rsidR="001D5133" w:rsidRPr="009D5AE9">
        <w:rPr>
          <w:rFonts w:cstheme="minorHAnsi"/>
        </w:rPr>
        <w:t>,</w:t>
      </w:r>
      <w:r w:rsidRPr="009D5AE9">
        <w:rPr>
          <w:rFonts w:cstheme="minorHAnsi"/>
        </w:rPr>
        <w:t xml:space="preserve"> w terminie określonym w ust. 8,</w:t>
      </w:r>
    </w:p>
    <w:p w14:paraId="232C980C" w14:textId="1B6A05AC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wartość świadczeń powierzonych do zrealizowania wszystkim Podmiotom </w:t>
      </w:r>
      <w:r w:rsidR="00A02733" w:rsidRPr="009D5AE9">
        <w:rPr>
          <w:rFonts w:cstheme="minorHAnsi"/>
        </w:rPr>
        <w:t>Biorącym Udział</w:t>
      </w:r>
      <w:r w:rsidRPr="009D5AE9">
        <w:rPr>
          <w:rFonts w:cstheme="minorHAnsi"/>
        </w:rPr>
        <w:t xml:space="preserve"> będącym Podmiotami Objętymi Sankcjami (lub świadczeń zrealizowanych przez nie) liczona łącznie dla wszystkich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będących Podmiotami Objętymi Sankcjami przekro</w:t>
      </w:r>
      <w:r w:rsidR="00BF5B76" w:rsidRPr="009D5AE9">
        <w:rPr>
          <w:rFonts w:cstheme="minorHAnsi"/>
        </w:rPr>
        <w:t>czy w całym okresie realizacji u</w:t>
      </w:r>
      <w:r w:rsidRPr="009D5AE9">
        <w:rPr>
          <w:rFonts w:cstheme="minorHAnsi"/>
        </w:rPr>
        <w:t xml:space="preserve">mowy kwotę odpowiadającą 10% </w:t>
      </w:r>
      <w:r w:rsidR="001F4B96" w:rsidRPr="009D5AE9">
        <w:rPr>
          <w:rFonts w:cstheme="minorHAnsi"/>
        </w:rPr>
        <w:t xml:space="preserve">wartości zamówienia lub maksymalnej wartości wynagrodzenia, jakie może być należne Wykonawcy na podstawie </w:t>
      </w:r>
      <w:r w:rsidR="00BF5B76" w:rsidRPr="009D5AE9">
        <w:rPr>
          <w:rFonts w:cstheme="minorHAnsi"/>
        </w:rPr>
        <w:t>u</w:t>
      </w:r>
      <w:r w:rsidR="001F4B96" w:rsidRPr="009D5AE9">
        <w:rPr>
          <w:rFonts w:cstheme="minorHAnsi"/>
        </w:rPr>
        <w:t>mowy (</w:t>
      </w:r>
      <w:r w:rsidR="00E108C3" w:rsidRPr="009D5AE9">
        <w:rPr>
          <w:rFonts w:cstheme="minorHAnsi"/>
        </w:rPr>
        <w:t xml:space="preserve">z uwzględnieniem zmian wynagrodzenia w toku realizacji </w:t>
      </w:r>
      <w:r w:rsidR="00BF5B76" w:rsidRPr="009D5AE9">
        <w:rPr>
          <w:rFonts w:cstheme="minorHAnsi"/>
        </w:rPr>
        <w:t>u</w:t>
      </w:r>
      <w:r w:rsidR="00E108C3" w:rsidRPr="009D5AE9">
        <w:rPr>
          <w:rFonts w:cstheme="minorHAnsi"/>
        </w:rPr>
        <w:t>mowy, w tym zmiany wynagrodzenia za zakresy objęte prawem opcji lub ustalone wskutek procedury zmiany</w:t>
      </w:r>
      <w:r w:rsidR="001F4B96" w:rsidRPr="009D5AE9">
        <w:rPr>
          <w:rFonts w:cstheme="minorHAnsi"/>
        </w:rPr>
        <w:t>), w zależności, która z tych wartości będzie niższa</w:t>
      </w:r>
      <w:r w:rsidRPr="009D5AE9">
        <w:rPr>
          <w:rFonts w:cstheme="minorHAnsi"/>
        </w:rPr>
        <w:t>,</w:t>
      </w:r>
    </w:p>
    <w:p w14:paraId="00D1CC12" w14:textId="2A06E6C1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lastRenderedPageBreak/>
        <w:t>Wykonawca nie złoży Zamawiającemu oświadcze</w:t>
      </w:r>
      <w:r w:rsidR="00D302C4" w:rsidRPr="009D5AE9">
        <w:rPr>
          <w:rFonts w:cstheme="minorHAnsi"/>
        </w:rPr>
        <w:t>ń</w:t>
      </w:r>
      <w:r w:rsidRPr="009D5AE9">
        <w:rPr>
          <w:rFonts w:cstheme="minorHAnsi"/>
        </w:rPr>
        <w:t>, o który</w:t>
      </w:r>
      <w:r w:rsidR="00D302C4" w:rsidRPr="009D5AE9">
        <w:rPr>
          <w:rFonts w:cstheme="minorHAnsi"/>
        </w:rPr>
        <w:t>ch</w:t>
      </w:r>
      <w:r w:rsidRPr="009D5AE9">
        <w:rPr>
          <w:rFonts w:cstheme="minorHAnsi"/>
        </w:rPr>
        <w:t xml:space="preserve"> mowa w ust. 5 niniejszego paragrafu i to pomimo ponownego wezwania Wykonawcy do złożenia takiego oświadczenia i wyznaczenia na to dodatkowego terminu nie krótszego niż 3 </w:t>
      </w:r>
      <w:r w:rsidR="00EB1CB8" w:rsidRPr="009D5AE9">
        <w:rPr>
          <w:rFonts w:cstheme="minorHAnsi"/>
        </w:rPr>
        <w:t>dni robocze</w:t>
      </w:r>
      <w:r w:rsidRPr="009D5AE9">
        <w:rPr>
          <w:rFonts w:cstheme="minorHAnsi"/>
        </w:rPr>
        <w:t>,</w:t>
      </w:r>
      <w:r w:rsidR="0048434F" w:rsidRPr="009D5AE9">
        <w:rPr>
          <w:rFonts w:cstheme="minorHAnsi"/>
        </w:rPr>
        <w:t xml:space="preserve"> lub</w:t>
      </w:r>
    </w:p>
    <w:p w14:paraId="74249060" w14:textId="273DF42B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naruszy zobowiązanie wynikające z ust. </w:t>
      </w:r>
      <w:r w:rsidR="00DB3B90" w:rsidRPr="009D5AE9">
        <w:rPr>
          <w:rFonts w:cstheme="minorHAnsi"/>
        </w:rPr>
        <w:t xml:space="preserve">3 lub </w:t>
      </w:r>
      <w:r w:rsidRPr="009D5AE9">
        <w:rPr>
          <w:rFonts w:cstheme="minorHAnsi"/>
        </w:rPr>
        <w:t>4 niniejszego paragrafu</w:t>
      </w:r>
      <w:r w:rsidR="0048434F" w:rsidRPr="009D5AE9">
        <w:rPr>
          <w:rFonts w:cstheme="minorHAnsi"/>
        </w:rPr>
        <w:t>.</w:t>
      </w:r>
    </w:p>
    <w:p w14:paraId="219EE03A" w14:textId="4E760377" w:rsidR="00B458A2" w:rsidRPr="009D5AE9" w:rsidRDefault="00B458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Kary umowne zastrzeżone w ust. 17 nie podlegają kumulacji. W przypadku wystąpienia jednej lub większej liczby przesłanek do naliczenia kar umownych, o których mowa w ust. 17 niniejszego paragrafu Wykonawca zapłaci Zamawiającemu jedną karę umowną w wysokości </w:t>
      </w:r>
      <w:r w:rsidR="00AB6174">
        <w:rPr>
          <w:rFonts w:cstheme="minorHAnsi"/>
        </w:rPr>
        <w:t>10</w:t>
      </w:r>
      <w:r w:rsidRPr="009D5AE9">
        <w:rPr>
          <w:rFonts w:cstheme="minorHAnsi"/>
        </w:rPr>
        <w:t xml:space="preserve">% </w:t>
      </w:r>
      <w:r w:rsidR="0092521A" w:rsidRPr="009D5AE9">
        <w:rPr>
          <w:rFonts w:cstheme="minorHAnsi"/>
        </w:rPr>
        <w:t>Wynagrodzenia netto</w:t>
      </w:r>
      <w:r w:rsidRPr="009D5AE9">
        <w:rPr>
          <w:rFonts w:cstheme="minorHAnsi"/>
        </w:rPr>
        <w:t>.</w:t>
      </w:r>
      <w:r w:rsidR="001A2908" w:rsidRPr="009D5AE9">
        <w:rPr>
          <w:rFonts w:cstheme="minorHAnsi"/>
        </w:rPr>
        <w:t xml:space="preserve"> </w:t>
      </w:r>
      <w:r w:rsidRPr="009D5AE9">
        <w:rPr>
          <w:rFonts w:cstheme="minorHAnsi"/>
        </w:rPr>
        <w:t xml:space="preserve">Łączna wartość kar umownych zastrzeżonych w niniejszym paragrafie nie przekroczy </w:t>
      </w:r>
      <w:r w:rsidR="00AB6174">
        <w:rPr>
          <w:rFonts w:cstheme="minorHAnsi"/>
        </w:rPr>
        <w:t>10</w:t>
      </w:r>
      <w:r w:rsidRPr="009D5AE9">
        <w:rPr>
          <w:rFonts w:cstheme="minorHAnsi"/>
        </w:rPr>
        <w:t xml:space="preserve">% </w:t>
      </w:r>
      <w:r w:rsidR="00EA12D7" w:rsidRPr="009D5AE9">
        <w:rPr>
          <w:rFonts w:cstheme="minorHAnsi"/>
        </w:rPr>
        <w:t>Wynagrodzenia netto</w:t>
      </w:r>
      <w:r w:rsidRPr="009D5AE9">
        <w:rPr>
          <w:rFonts w:cstheme="minorHAnsi"/>
        </w:rPr>
        <w:t>.</w:t>
      </w:r>
    </w:p>
    <w:p w14:paraId="0D057455" w14:textId="08A0C490" w:rsidR="00274C39" w:rsidRPr="009D5AE9" w:rsidRDefault="00B458A2" w:rsidP="00274C39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 celu uniknięcia wątpliwości strony potwierdzają, że</w:t>
      </w:r>
      <w:r w:rsidR="00A02733" w:rsidRPr="009D5AE9">
        <w:rPr>
          <w:rFonts w:cstheme="minorHAnsi"/>
        </w:rPr>
        <w:t xml:space="preserve"> </w:t>
      </w:r>
      <w:r w:rsidRPr="009D5AE9">
        <w:rPr>
          <w:rFonts w:cstheme="minorHAnsi"/>
        </w:rPr>
        <w:t xml:space="preserve">naruszenie zobowiązań, o których mowa w ust. 3, ust. 4 i ust. 7 niniejszego paragrafu </w:t>
      </w:r>
      <w:r w:rsidR="00274C39" w:rsidRPr="009D5AE9">
        <w:rPr>
          <w:rFonts w:cstheme="minorHAnsi"/>
        </w:rPr>
        <w:t xml:space="preserve">ma charakter </w:t>
      </w:r>
      <w:r w:rsidRPr="009D5AE9">
        <w:rPr>
          <w:rFonts w:cstheme="minorHAnsi"/>
        </w:rPr>
        <w:t>odpowiedzialności gwarancyjn</w:t>
      </w:r>
      <w:r w:rsidR="00BF5B76" w:rsidRPr="009D5AE9">
        <w:rPr>
          <w:rFonts w:cstheme="minorHAnsi"/>
        </w:rPr>
        <w:t>ej</w:t>
      </w:r>
      <w:r w:rsidR="001D47E6" w:rsidRPr="009D5AE9">
        <w:rPr>
          <w:rFonts w:cstheme="minorHAnsi"/>
        </w:rPr>
        <w:t>, w szczególności Wykonawca odpowiada względem Zamawiającego za zachowania własne oraz zachowania wszelkich innych osób (z wyłączeniem Zamawiającego i osób</w:t>
      </w:r>
      <w:r w:rsidR="00AE676D" w:rsidRPr="009D5AE9">
        <w:rPr>
          <w:rFonts w:cstheme="minorHAnsi"/>
        </w:rPr>
        <w:t>,</w:t>
      </w:r>
      <w:r w:rsidR="001D47E6" w:rsidRPr="009D5AE9">
        <w:rPr>
          <w:rFonts w:cstheme="minorHAnsi"/>
        </w:rPr>
        <w:t xml:space="preserve"> za które Zamawiający ponosi wyłączną odpowiedzialność) oraz za naruszenia będące skutkiem okoliczności przypadkowych</w:t>
      </w:r>
      <w:r w:rsidR="000C196F" w:rsidRPr="009D5AE9">
        <w:rPr>
          <w:rFonts w:cstheme="minorHAnsi"/>
        </w:rPr>
        <w:t>,</w:t>
      </w:r>
      <w:r w:rsidR="00A02733" w:rsidRPr="009D5AE9">
        <w:rPr>
          <w:rFonts w:cstheme="minorHAnsi"/>
        </w:rPr>
        <w:t xml:space="preserve"> a </w:t>
      </w:r>
      <w:r w:rsidR="00BF5B76" w:rsidRPr="009D5AE9">
        <w:rPr>
          <w:rFonts w:cstheme="minorHAnsi"/>
        </w:rPr>
        <w:t>odstąpienie od u</w:t>
      </w:r>
      <w:r w:rsidRPr="009D5AE9">
        <w:rPr>
          <w:rFonts w:cstheme="minorHAnsi"/>
        </w:rPr>
        <w:t>mowy na podstawie niniejszego paragrafu nie wyłącza prawa do dochodzenia zapłaty kar umownych, jak również nie ma wpływu na zobowiązania Wykonawcy wynikające z rękojmi za wady i gwarancji jakości</w:t>
      </w:r>
      <w:r w:rsidR="00274C39" w:rsidRPr="009D5AE9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 poufności danych osobowych, nabytych majątkowych praw autorskich, uprawnień licencyjnych).</w:t>
      </w:r>
    </w:p>
    <w:p w14:paraId="47E25141" w14:textId="50420152" w:rsidR="00B458A2" w:rsidRPr="009D5AE9" w:rsidRDefault="00B458A2" w:rsidP="00274C39">
      <w:pPr>
        <w:tabs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rFonts w:cstheme="minorHAnsi"/>
        </w:rPr>
      </w:pPr>
    </w:p>
    <w:p w14:paraId="0F397445" w14:textId="77777777" w:rsidR="00BF5B76" w:rsidRPr="007B16E7" w:rsidRDefault="00BF5B76" w:rsidP="00274C39">
      <w:pPr>
        <w:tabs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rFonts w:cstheme="minorHAnsi"/>
        </w:rPr>
      </w:pPr>
    </w:p>
    <w:sectPr w:rsidR="00BF5B76" w:rsidRPr="007B1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4BF7D" w14:textId="77777777" w:rsidR="00506A7A" w:rsidRDefault="00506A7A" w:rsidP="00D2273F">
      <w:pPr>
        <w:spacing w:after="0" w:line="240" w:lineRule="auto"/>
      </w:pPr>
      <w:r>
        <w:separator/>
      </w:r>
    </w:p>
  </w:endnote>
  <w:endnote w:type="continuationSeparator" w:id="0">
    <w:p w14:paraId="05A00AC1" w14:textId="77777777" w:rsidR="00506A7A" w:rsidRDefault="00506A7A" w:rsidP="00D2273F">
      <w:pPr>
        <w:spacing w:after="0" w:line="240" w:lineRule="auto"/>
      </w:pPr>
      <w:r>
        <w:continuationSeparator/>
      </w:r>
    </w:p>
  </w:endnote>
  <w:endnote w:type="continuationNotice" w:id="1">
    <w:p w14:paraId="2FC64571" w14:textId="77777777" w:rsidR="00506A7A" w:rsidRDefault="00506A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5C590" w14:textId="77777777" w:rsidR="00506A7A" w:rsidRDefault="00506A7A" w:rsidP="00D2273F">
      <w:pPr>
        <w:spacing w:after="0" w:line="240" w:lineRule="auto"/>
      </w:pPr>
      <w:r>
        <w:separator/>
      </w:r>
    </w:p>
  </w:footnote>
  <w:footnote w:type="continuationSeparator" w:id="0">
    <w:p w14:paraId="491AB573" w14:textId="77777777" w:rsidR="00506A7A" w:rsidRDefault="00506A7A" w:rsidP="00D2273F">
      <w:pPr>
        <w:spacing w:after="0" w:line="240" w:lineRule="auto"/>
      </w:pPr>
      <w:r>
        <w:continuationSeparator/>
      </w:r>
    </w:p>
  </w:footnote>
  <w:footnote w:type="continuationNotice" w:id="1">
    <w:p w14:paraId="132B4FB2" w14:textId="77777777" w:rsidR="00506A7A" w:rsidRDefault="00506A7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7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356467949">
    <w:abstractNumId w:val="5"/>
  </w:num>
  <w:num w:numId="2" w16cid:durableId="496195858">
    <w:abstractNumId w:val="4"/>
  </w:num>
  <w:num w:numId="3" w16cid:durableId="895972569">
    <w:abstractNumId w:val="2"/>
  </w:num>
  <w:num w:numId="4" w16cid:durableId="639043961">
    <w:abstractNumId w:val="1"/>
  </w:num>
  <w:num w:numId="5" w16cid:durableId="973676185">
    <w:abstractNumId w:val="7"/>
  </w:num>
  <w:num w:numId="6" w16cid:durableId="477187336">
    <w:abstractNumId w:val="6"/>
  </w:num>
  <w:num w:numId="7" w16cid:durableId="1069034016">
    <w:abstractNumId w:val="3"/>
  </w:num>
  <w:num w:numId="8" w16cid:durableId="1709834538">
    <w:abstractNumId w:val="0"/>
  </w:num>
  <w:num w:numId="9" w16cid:durableId="2004626460">
    <w:abstractNumId w:val="0"/>
  </w:num>
  <w:num w:numId="10" w16cid:durableId="1026827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529C"/>
    <w:rsid w:val="00007C64"/>
    <w:rsid w:val="0003156E"/>
    <w:rsid w:val="00091C3A"/>
    <w:rsid w:val="000A0026"/>
    <w:rsid w:val="000A6086"/>
    <w:rsid w:val="000B0CAA"/>
    <w:rsid w:val="000C196F"/>
    <w:rsid w:val="000E7D71"/>
    <w:rsid w:val="000F6661"/>
    <w:rsid w:val="0015703B"/>
    <w:rsid w:val="00164C75"/>
    <w:rsid w:val="0017666F"/>
    <w:rsid w:val="001849E4"/>
    <w:rsid w:val="0018589E"/>
    <w:rsid w:val="00186596"/>
    <w:rsid w:val="001924FB"/>
    <w:rsid w:val="00195114"/>
    <w:rsid w:val="001A2908"/>
    <w:rsid w:val="001B18FA"/>
    <w:rsid w:val="001B694D"/>
    <w:rsid w:val="001D1AA2"/>
    <w:rsid w:val="001D3CF9"/>
    <w:rsid w:val="001D47E6"/>
    <w:rsid w:val="001D5133"/>
    <w:rsid w:val="001F4B96"/>
    <w:rsid w:val="00203BDF"/>
    <w:rsid w:val="00212F60"/>
    <w:rsid w:val="00241083"/>
    <w:rsid w:val="00241E52"/>
    <w:rsid w:val="00257D03"/>
    <w:rsid w:val="00261B44"/>
    <w:rsid w:val="0026630F"/>
    <w:rsid w:val="00272722"/>
    <w:rsid w:val="00274C39"/>
    <w:rsid w:val="002B095B"/>
    <w:rsid w:val="002B4D2F"/>
    <w:rsid w:val="002D5B1E"/>
    <w:rsid w:val="002E2A65"/>
    <w:rsid w:val="002E538C"/>
    <w:rsid w:val="00346B54"/>
    <w:rsid w:val="003867DC"/>
    <w:rsid w:val="00393357"/>
    <w:rsid w:val="00393BFE"/>
    <w:rsid w:val="003B70A3"/>
    <w:rsid w:val="003C31F2"/>
    <w:rsid w:val="003C639A"/>
    <w:rsid w:val="003D3E7A"/>
    <w:rsid w:val="003D6426"/>
    <w:rsid w:val="004078D9"/>
    <w:rsid w:val="00414DFB"/>
    <w:rsid w:val="004335A0"/>
    <w:rsid w:val="00437042"/>
    <w:rsid w:val="004401AD"/>
    <w:rsid w:val="00464049"/>
    <w:rsid w:val="0047209E"/>
    <w:rsid w:val="004810CB"/>
    <w:rsid w:val="0048434F"/>
    <w:rsid w:val="004857AB"/>
    <w:rsid w:val="00486E73"/>
    <w:rsid w:val="004B4C63"/>
    <w:rsid w:val="004B5C9E"/>
    <w:rsid w:val="004C646D"/>
    <w:rsid w:val="004F27CF"/>
    <w:rsid w:val="00506A7A"/>
    <w:rsid w:val="00511859"/>
    <w:rsid w:val="00513F06"/>
    <w:rsid w:val="00517E19"/>
    <w:rsid w:val="00517F44"/>
    <w:rsid w:val="00522533"/>
    <w:rsid w:val="00541B48"/>
    <w:rsid w:val="00567B74"/>
    <w:rsid w:val="00590993"/>
    <w:rsid w:val="005A66FB"/>
    <w:rsid w:val="005B495C"/>
    <w:rsid w:val="005C2D20"/>
    <w:rsid w:val="005C61EA"/>
    <w:rsid w:val="005D0239"/>
    <w:rsid w:val="005D0FDE"/>
    <w:rsid w:val="005E0113"/>
    <w:rsid w:val="0060244E"/>
    <w:rsid w:val="00624976"/>
    <w:rsid w:val="00626699"/>
    <w:rsid w:val="00626CBA"/>
    <w:rsid w:val="006334D1"/>
    <w:rsid w:val="006349D3"/>
    <w:rsid w:val="00650EBA"/>
    <w:rsid w:val="00684ECC"/>
    <w:rsid w:val="0069640F"/>
    <w:rsid w:val="006A6067"/>
    <w:rsid w:val="006A79BD"/>
    <w:rsid w:val="006C4F81"/>
    <w:rsid w:val="006D19F8"/>
    <w:rsid w:val="006D7560"/>
    <w:rsid w:val="006F6CF6"/>
    <w:rsid w:val="0070413F"/>
    <w:rsid w:val="00707E6A"/>
    <w:rsid w:val="00720194"/>
    <w:rsid w:val="00747F5C"/>
    <w:rsid w:val="007644FE"/>
    <w:rsid w:val="007A2624"/>
    <w:rsid w:val="007B16E7"/>
    <w:rsid w:val="007B2B54"/>
    <w:rsid w:val="007B5B57"/>
    <w:rsid w:val="007D24CB"/>
    <w:rsid w:val="00803644"/>
    <w:rsid w:val="0080491E"/>
    <w:rsid w:val="008101DF"/>
    <w:rsid w:val="00817664"/>
    <w:rsid w:val="00820F6D"/>
    <w:rsid w:val="00841863"/>
    <w:rsid w:val="00846EA4"/>
    <w:rsid w:val="00857DE5"/>
    <w:rsid w:val="00864D13"/>
    <w:rsid w:val="00866317"/>
    <w:rsid w:val="00884A60"/>
    <w:rsid w:val="008A1E8F"/>
    <w:rsid w:val="0090103F"/>
    <w:rsid w:val="0092521A"/>
    <w:rsid w:val="00967785"/>
    <w:rsid w:val="00984AC3"/>
    <w:rsid w:val="00993300"/>
    <w:rsid w:val="00994EA7"/>
    <w:rsid w:val="009A42FB"/>
    <w:rsid w:val="009B4C4A"/>
    <w:rsid w:val="009D5AE9"/>
    <w:rsid w:val="009E1D00"/>
    <w:rsid w:val="00A026F3"/>
    <w:rsid w:val="00A02733"/>
    <w:rsid w:val="00A048BF"/>
    <w:rsid w:val="00A10CA2"/>
    <w:rsid w:val="00A16377"/>
    <w:rsid w:val="00A22D32"/>
    <w:rsid w:val="00A312D7"/>
    <w:rsid w:val="00A51C5A"/>
    <w:rsid w:val="00A55FDE"/>
    <w:rsid w:val="00A71B10"/>
    <w:rsid w:val="00A809D1"/>
    <w:rsid w:val="00AA1F40"/>
    <w:rsid w:val="00AA3AB3"/>
    <w:rsid w:val="00AB1C18"/>
    <w:rsid w:val="00AB6174"/>
    <w:rsid w:val="00AD4F9B"/>
    <w:rsid w:val="00AE676D"/>
    <w:rsid w:val="00B10C86"/>
    <w:rsid w:val="00B24284"/>
    <w:rsid w:val="00B24933"/>
    <w:rsid w:val="00B370F6"/>
    <w:rsid w:val="00B40318"/>
    <w:rsid w:val="00B458A2"/>
    <w:rsid w:val="00B7505A"/>
    <w:rsid w:val="00BA0387"/>
    <w:rsid w:val="00BA74C0"/>
    <w:rsid w:val="00BC6758"/>
    <w:rsid w:val="00BD31D1"/>
    <w:rsid w:val="00BF1F67"/>
    <w:rsid w:val="00BF5B76"/>
    <w:rsid w:val="00BF79E6"/>
    <w:rsid w:val="00C1530C"/>
    <w:rsid w:val="00C7584A"/>
    <w:rsid w:val="00C80A8A"/>
    <w:rsid w:val="00C83252"/>
    <w:rsid w:val="00C95650"/>
    <w:rsid w:val="00CA0438"/>
    <w:rsid w:val="00CA1EE6"/>
    <w:rsid w:val="00CB5569"/>
    <w:rsid w:val="00CC616C"/>
    <w:rsid w:val="00D2273F"/>
    <w:rsid w:val="00D25978"/>
    <w:rsid w:val="00D302C4"/>
    <w:rsid w:val="00D309C9"/>
    <w:rsid w:val="00D62188"/>
    <w:rsid w:val="00D63556"/>
    <w:rsid w:val="00D8226A"/>
    <w:rsid w:val="00D85180"/>
    <w:rsid w:val="00D9107B"/>
    <w:rsid w:val="00D947BD"/>
    <w:rsid w:val="00D9617F"/>
    <w:rsid w:val="00DB3B90"/>
    <w:rsid w:val="00DB5FA1"/>
    <w:rsid w:val="00DC137A"/>
    <w:rsid w:val="00E108C3"/>
    <w:rsid w:val="00E13F7A"/>
    <w:rsid w:val="00E15D57"/>
    <w:rsid w:val="00E3189B"/>
    <w:rsid w:val="00E46DBD"/>
    <w:rsid w:val="00E50E9D"/>
    <w:rsid w:val="00E856B2"/>
    <w:rsid w:val="00E939CA"/>
    <w:rsid w:val="00E9741C"/>
    <w:rsid w:val="00EA12D7"/>
    <w:rsid w:val="00EA7320"/>
    <w:rsid w:val="00EB1CB8"/>
    <w:rsid w:val="00EF20FF"/>
    <w:rsid w:val="00F00720"/>
    <w:rsid w:val="00F02C9E"/>
    <w:rsid w:val="00F422BF"/>
    <w:rsid w:val="00F46190"/>
    <w:rsid w:val="00F64FA7"/>
    <w:rsid w:val="00F72D82"/>
    <w:rsid w:val="00F7473C"/>
    <w:rsid w:val="00FC2D69"/>
    <w:rsid w:val="00FC6F19"/>
    <w:rsid w:val="00FE04AE"/>
    <w:rsid w:val="00FE5F46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7E6A"/>
  </w:style>
  <w:style w:type="paragraph" w:styleId="Stopka">
    <w:name w:val="footer"/>
    <w:basedOn w:val="Normalny"/>
    <w:link w:val="StopkaZnak"/>
    <w:uiPriority w:val="99"/>
    <w:semiHidden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do Umowy_Klauzula sankcyjna.docx</dmsv2BaseFileName>
    <dmsv2BaseDisplayName xmlns="http://schemas.microsoft.com/sharepoint/v3">Załącznik do Umowy_Klauzula sankcyjna</dmsv2BaseDisplayName>
    <dmsv2SWPP2ObjectNumber xmlns="http://schemas.microsoft.com/sharepoint/v3">POST/EOD/EOD/BM/00143/2025                        </dmsv2SWPP2ObjectNumber>
    <dmsv2SWPP2SumMD5 xmlns="http://schemas.microsoft.com/sharepoint/v3">e0e2eda6e76bb1ce694abb9f5cca5db9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675833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22142658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000000010005000500010009</dmsv2SWPP2ObjectDepartment>
    <dmsv2SWPP2ObjectName xmlns="http://schemas.microsoft.com/sharepoint/v3">Postępowanie</dmsv2SWPP2ObjectName>
    <_dlc_DocId xmlns="a19cb1c7-c5c7-46d4-85ae-d83685407bba">MUFVPD5EPY3P-699274413-24539</_dlc_DocId>
    <_dlc_DocIdUrl xmlns="a19cb1c7-c5c7-46d4-85ae-d83685407bba">
      <Url>https://swpp2.dms.gkpge.pl/sites/36/_layouts/15/DocIdRedir.aspx?ID=MUFVPD5EPY3P-699274413-24539</Url>
      <Description>MUFVPD5EPY3P-699274413-24539</Description>
    </_dlc_DocIdUrl>
  </documentManagement>
</p:properties>
</file>

<file path=customXml/itemProps1.xml><?xml version="1.0" encoding="utf-8"?>
<ds:datastoreItem xmlns:ds="http://schemas.openxmlformats.org/officeDocument/2006/customXml" ds:itemID="{37288815-48BA-4669-BC83-C739C427385A}"/>
</file>

<file path=customXml/itemProps2.xml><?xml version="1.0" encoding="utf-8"?>
<ds:datastoreItem xmlns:ds="http://schemas.openxmlformats.org/officeDocument/2006/customXml" ds:itemID="{3FEF420B-98F1-411E-8630-0D67DC47741F}"/>
</file>

<file path=customXml/itemProps3.xml><?xml version="1.0" encoding="utf-8"?>
<ds:datastoreItem xmlns:ds="http://schemas.openxmlformats.org/officeDocument/2006/customXml" ds:itemID="{4CC6E0E5-9CEC-4E37-82FB-F9ADCD507109}"/>
</file>

<file path=customXml/itemProps4.xml><?xml version="1.0" encoding="utf-8"?>
<ds:datastoreItem xmlns:ds="http://schemas.openxmlformats.org/officeDocument/2006/customXml" ds:itemID="{923D40E0-4B78-46CD-9C35-BA144926E9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2448</Words>
  <Characters>14688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17102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DZP</dc:creator>
  <cp:lastModifiedBy>Suchecki Robert [PGE E. Odnawialna S.A.]</cp:lastModifiedBy>
  <cp:revision>3</cp:revision>
  <cp:lastPrinted>2022-08-17T14:21:00Z</cp:lastPrinted>
  <dcterms:created xsi:type="dcterms:W3CDTF">2025-04-09T10:15:00Z</dcterms:created>
  <dcterms:modified xsi:type="dcterms:W3CDTF">2025-04-09T10:17:00Z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2022-07-20T14:58:39Z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5e72b644-a7da-4794-891b-91115748e67a</vt:lpwstr>
  </property>
  <property fmtid="{D5CDD505-2E9C-101B-9397-08002B2CF9AE}" pid="8" name="MSIP_Label_0b580558-2683-40bf-bd3c-5277d4f016e9_ContentBits">
    <vt:lpwstr>0</vt:lpwstr>
  </property>
  <property fmtid="{D5CDD505-2E9C-101B-9397-08002B2CF9AE}" pid="9" name="MSIP_Label_66b5d990-821a-4d41-b503-280f184b2126_Enabled">
    <vt:lpwstr>true</vt:lpwstr>
  </property>
  <property fmtid="{D5CDD505-2E9C-101B-9397-08002B2CF9AE}" pid="10" name="MSIP_Label_66b5d990-821a-4d41-b503-280f184b2126_SetDate">
    <vt:lpwstr>2025-04-09T10:15:47Z</vt:lpwstr>
  </property>
  <property fmtid="{D5CDD505-2E9C-101B-9397-08002B2CF9AE}" pid="11" name="MSIP_Label_66b5d990-821a-4d41-b503-280f184b2126_Method">
    <vt:lpwstr>Privileged</vt:lpwstr>
  </property>
  <property fmtid="{D5CDD505-2E9C-101B-9397-08002B2CF9AE}" pid="12" name="MSIP_Label_66b5d990-821a-4d41-b503-280f184b2126_Name">
    <vt:lpwstr>ALL-Publiczne</vt:lpwstr>
  </property>
  <property fmtid="{D5CDD505-2E9C-101B-9397-08002B2CF9AE}" pid="13" name="MSIP_Label_66b5d990-821a-4d41-b503-280f184b2126_SiteId">
    <vt:lpwstr>e9895a11-04dc-4848-aa12-7fca9faefb60</vt:lpwstr>
  </property>
  <property fmtid="{D5CDD505-2E9C-101B-9397-08002B2CF9AE}" pid="14" name="MSIP_Label_66b5d990-821a-4d41-b503-280f184b2126_ActionId">
    <vt:lpwstr>1e074c37-131f-4e96-b5bb-c3ea1317dd9a</vt:lpwstr>
  </property>
  <property fmtid="{D5CDD505-2E9C-101B-9397-08002B2CF9AE}" pid="15" name="MSIP_Label_66b5d990-821a-4d41-b503-280f184b2126_ContentBits">
    <vt:lpwstr>0</vt:lpwstr>
  </property>
  <property fmtid="{D5CDD505-2E9C-101B-9397-08002B2CF9AE}" pid="16" name="ContentTypeId">
    <vt:lpwstr>0x0101891000DBD6C41A72A57941944C3D24F58BBF6B</vt:lpwstr>
  </property>
  <property fmtid="{D5CDD505-2E9C-101B-9397-08002B2CF9AE}" pid="17" name="_dlc_DocIdItemGuid">
    <vt:lpwstr>81c34fa3-54ae-4acb-9645-8e239c2aea55</vt:lpwstr>
  </property>
</Properties>
</file>