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 xml:space="preserve">nie trzeba kontaktować się z PGE Dystrybucja S.A. </w:t>
      </w:r>
      <w:proofErr w:type="gramStart"/>
      <w:r w:rsidRPr="00F37F03">
        <w:rPr>
          <w:rFonts w:asciiTheme="minorHAnsi" w:hAnsiTheme="minorHAnsi" w:cs="Arial"/>
          <w:sz w:val="20"/>
          <w:u w:val="single"/>
        </w:rPr>
        <w:t>ani</w:t>
      </w:r>
      <w:proofErr w:type="gramEnd"/>
      <w:r w:rsidRPr="00F37F03">
        <w:rPr>
          <w:rFonts w:asciiTheme="minorHAnsi" w:hAnsiTheme="minorHAnsi" w:cs="Arial"/>
          <w:sz w:val="20"/>
          <w:u w:val="single"/>
        </w:rPr>
        <w:t xml:space="preserve">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  <w:proofErr w:type="gramStart"/>
      <w:r w:rsidRPr="00F37F03">
        <w:rPr>
          <w:rFonts w:asciiTheme="minorHAnsi" w:hAnsiTheme="minorHAnsi" w:cs="Arial"/>
          <w:sz w:val="20"/>
        </w:rPr>
        <w:t>z</w:t>
      </w:r>
      <w:proofErr w:type="gramEnd"/>
      <w:r w:rsidRPr="00F37F03">
        <w:rPr>
          <w:rFonts w:asciiTheme="minorHAnsi" w:hAnsiTheme="minorHAnsi" w:cs="Arial"/>
          <w:sz w:val="20"/>
        </w:rPr>
        <w:t xml:space="preserve">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</w:t>
      </w:r>
      <w:proofErr w:type="gramStart"/>
      <w:r w:rsidR="003E2BA7">
        <w:rPr>
          <w:rFonts w:asciiTheme="minorHAnsi" w:hAnsiTheme="minorHAnsi" w:cs="Arial"/>
          <w:b/>
          <w:color w:val="auto"/>
          <w:sz w:val="20"/>
        </w:rPr>
        <w:t>podstawie  art</w:t>
      </w:r>
      <w:proofErr w:type="gramEnd"/>
      <w:r w:rsidR="003E2BA7">
        <w:rPr>
          <w:rFonts w:asciiTheme="minorHAnsi" w:hAnsiTheme="minorHAnsi" w:cs="Arial"/>
          <w:b/>
          <w:color w:val="auto"/>
          <w:sz w:val="20"/>
        </w:rPr>
        <w:t>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proofErr w:type="gramStart"/>
      <w:r w:rsidRPr="00FA0469">
        <w:rPr>
          <w:rFonts w:asciiTheme="minorHAnsi" w:hAnsiTheme="minorHAnsi" w:cs="Arial"/>
          <w:sz w:val="20"/>
        </w:rPr>
        <w:t>w</w:t>
      </w:r>
      <w:proofErr w:type="gramEnd"/>
      <w:r w:rsidRPr="00FA0469">
        <w:rPr>
          <w:rFonts w:asciiTheme="minorHAnsi" w:hAnsiTheme="minorHAnsi" w:cs="Arial"/>
          <w:sz w:val="20"/>
        </w:rPr>
        <w:t xml:space="preserve">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A0469">
        <w:rPr>
          <w:rFonts w:asciiTheme="minorHAnsi" w:hAnsiTheme="minorHAnsi" w:cs="Arial"/>
          <w:color w:val="auto"/>
          <w:sz w:val="20"/>
        </w:rPr>
        <w:t>w</w:t>
      </w:r>
      <w:proofErr w:type="gramEnd"/>
      <w:r w:rsidRPr="00FA0469">
        <w:rPr>
          <w:rFonts w:asciiTheme="minorHAnsi" w:hAnsiTheme="minorHAnsi" w:cs="Arial"/>
          <w:color w:val="auto"/>
          <w:sz w:val="20"/>
        </w:rPr>
        <w:t xml:space="preserve">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</w:t>
      </w:r>
      <w:proofErr w:type="gramStart"/>
      <w:r w:rsidR="00E2192C">
        <w:rPr>
          <w:rFonts w:asciiTheme="minorHAnsi" w:hAnsiTheme="minorHAnsi" w:cs="Arial"/>
          <w:color w:val="000000" w:themeColor="text1"/>
          <w:sz w:val="20"/>
        </w:rPr>
        <w:t xml:space="preserve">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</w:t>
      </w:r>
      <w:proofErr w:type="gramEnd"/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sz w:val="20"/>
        </w:rPr>
        <w:t>w</w:t>
      </w:r>
      <w:proofErr w:type="gramEnd"/>
      <w:r w:rsidRPr="00F37F03">
        <w:rPr>
          <w:rFonts w:asciiTheme="minorHAnsi" w:hAnsiTheme="minorHAnsi" w:cs="Arial"/>
          <w:sz w:val="20"/>
        </w:rPr>
        <w:t xml:space="preserve">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proofErr w:type="gramStart"/>
      <w:r w:rsidRPr="00E6695F">
        <w:rPr>
          <w:rFonts w:asciiTheme="minorHAnsi" w:hAnsiTheme="minorHAnsi" w:cs="Arial"/>
          <w:sz w:val="20"/>
        </w:rPr>
        <w:t>w</w:t>
      </w:r>
      <w:proofErr w:type="gramEnd"/>
      <w:r w:rsidRPr="00E6695F">
        <w:rPr>
          <w:rFonts w:asciiTheme="minorHAnsi" w:hAnsiTheme="minorHAnsi" w:cs="Arial"/>
          <w:sz w:val="20"/>
        </w:rPr>
        <w:t xml:space="preserve">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b/>
          <w:sz w:val="20"/>
        </w:rPr>
        <w:t>prawo</w:t>
      </w:r>
      <w:proofErr w:type="gramEnd"/>
      <w:r w:rsidRPr="00F37F03">
        <w:rPr>
          <w:rFonts w:asciiTheme="minorHAnsi" w:hAnsiTheme="minorHAnsi" w:cs="Arial"/>
          <w:b/>
          <w:sz w:val="20"/>
        </w:rPr>
        <w:t xml:space="preserve">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proofErr w:type="gramStart"/>
      <w:r w:rsidRPr="008C2D5A">
        <w:rPr>
          <w:rFonts w:cs="Arial"/>
          <w:b/>
          <w:sz w:val="20"/>
        </w:rPr>
        <w:t>prawo</w:t>
      </w:r>
      <w:proofErr w:type="gramEnd"/>
      <w:r w:rsidRPr="008C2D5A">
        <w:rPr>
          <w:rFonts w:cs="Arial"/>
          <w:b/>
          <w:sz w:val="20"/>
        </w:rPr>
        <w:t xml:space="preserve">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595CF3">
        <w:rPr>
          <w:rFonts w:cs="Arial"/>
          <w:sz w:val="20"/>
        </w:rPr>
        <w:t>prawo</w:t>
      </w:r>
      <w:proofErr w:type="gramEnd"/>
      <w:r w:rsidRPr="00595CF3">
        <w:rPr>
          <w:rFonts w:cs="Arial"/>
          <w:sz w:val="20"/>
        </w:rPr>
        <w:t xml:space="preserve">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proofErr w:type="gramStart"/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</w:t>
      </w:r>
      <w:proofErr w:type="gramEnd"/>
      <w:r w:rsidR="004A4224" w:rsidRPr="00F37F03">
        <w:rPr>
          <w:rFonts w:asciiTheme="minorHAnsi" w:hAnsiTheme="minorHAnsi" w:cs="Arial"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 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Pr="00C96467">
            <w:rPr>
              <w:color w:val="70727B"/>
              <w:sz w:val="14"/>
              <w:szCs w:val="14"/>
            </w:rPr>
            <w:t>o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="00B3319F" w:rsidRPr="00C96467">
            <w:rPr>
              <w:color w:val="70727B"/>
              <w:sz w:val="14"/>
              <w:szCs w:val="14"/>
            </w:rPr>
            <w:t>o</w:t>
          </w:r>
          <w:proofErr w:type="gramEnd"/>
          <w:r w:rsidR="00B3319F"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="00B3319F"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A6A5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klauzula informacyjna - zawarcie i realizacja umowy - osoba fizyczna-dział.gosp. .docx</dmsv2BaseFileName>
    <dmsv2BaseDisplayName xmlns="http://schemas.microsoft.com/sharepoint/v3">klauzula informacyjna - zawarcie i realizacja umowy - osoba fizyczna-dział.gosp. </dmsv2BaseDisplayName>
    <dmsv2SWPP2ObjectNumber xmlns="http://schemas.microsoft.com/sharepoint/v3" xsi:nil="true"/>
    <dmsv2SWPP2SumMD5 xmlns="http://schemas.microsoft.com/sharepoint/v3">91cf4dc50ad675ada7ccac082404e330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20542050</dmsv2BaseClientSystemDocumentID>
    <dmsv2BaseModifiedByID xmlns="http://schemas.microsoft.com/sharepoint/v3">11920040</dmsv2BaseModifiedByID>
    <dmsv2BaseCreatedByID xmlns="http://schemas.microsoft.com/sharepoint/v3">11920040</dmsv2BaseCreatedByID>
    <dmsv2SWPP2ObjectDepartment xmlns="http://schemas.microsoft.com/sharepoint/v3">0000000100070005000000090004</dmsv2SWPP2ObjectDepartment>
    <dmsv2SWPP2ObjectName xmlns="http://schemas.microsoft.com/sharepoint/v3">Wniosek</dmsv2SWPP2ObjectName>
    <_dlc_DocId xmlns="a19cb1c7-c5c7-46d4-85ae-d83685407bba">ZKQJDXMXURTQ-23589584-25086</_dlc_DocId>
    <_dlc_DocIdUrl xmlns="a19cb1c7-c5c7-46d4-85ae-d83685407bba">
      <Url>https://swpp2.dms.gkpge.pl/sites/31/_layouts/15/DocIdRedir.aspx?ID=ZKQJDXMXURTQ-23589584-25086</Url>
      <Description>ZKQJDXMXURTQ-23589584-25086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D3B93BC-D304-4945-BEB4-E4CC4C2059A8}"/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848DF64-F8D8-4848-8638-461B638EB7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Klimek-Drozd Agnieszka [PGE Dystrybucja S.A.]</cp:lastModifiedBy>
  <cp:revision>2</cp:revision>
  <cp:lastPrinted>2021-01-15T07:43:00Z</cp:lastPrinted>
  <dcterms:created xsi:type="dcterms:W3CDTF">2022-07-01T08:48:00Z</dcterms:created>
  <dcterms:modified xsi:type="dcterms:W3CDTF">2022-07-01T08:48:00Z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93f4737c-f485-4d6d-8799-aec03a8af247</vt:lpwstr>
  </property>
</Properties>
</file>