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4F" w:rsidRPr="00467ED6" w:rsidRDefault="0095724F" w:rsidP="0095724F">
      <w:pPr>
        <w:spacing w:after="200" w:line="276" w:lineRule="auto"/>
        <w:jc w:val="right"/>
        <w:rPr>
          <w:rFonts w:ascii="Calibri" w:eastAsia="Calibri" w:hAnsi="Calibri" w:cs="Arial"/>
          <w:sz w:val="24"/>
          <w:szCs w:val="24"/>
          <w:lang w:eastAsia="en-US"/>
        </w:rPr>
      </w:pPr>
      <w:r w:rsidRPr="00467ED6">
        <w:rPr>
          <w:rFonts w:ascii="Calibri" w:eastAsia="Calibri" w:hAnsi="Calibri" w:cs="Arial"/>
          <w:b/>
          <w:sz w:val="24"/>
          <w:szCs w:val="24"/>
          <w:lang w:eastAsia="en-US"/>
        </w:rPr>
        <w:t xml:space="preserve">ZAŁĄCZNIK NR </w:t>
      </w:r>
      <w:r w:rsidR="00723A43">
        <w:rPr>
          <w:rFonts w:ascii="Calibri" w:eastAsia="Calibri" w:hAnsi="Calibri" w:cs="Arial"/>
          <w:b/>
          <w:sz w:val="24"/>
          <w:szCs w:val="24"/>
          <w:lang w:eastAsia="en-US"/>
        </w:rPr>
        <w:t>4</w:t>
      </w:r>
      <w:bookmarkStart w:id="0" w:name="_GoBack"/>
      <w:bookmarkEnd w:id="0"/>
      <w:r w:rsidRPr="00467ED6">
        <w:rPr>
          <w:rFonts w:ascii="Calibri" w:eastAsia="Calibri" w:hAnsi="Calibri" w:cs="Arial"/>
          <w:b/>
          <w:sz w:val="24"/>
          <w:szCs w:val="24"/>
          <w:lang w:eastAsia="en-US"/>
        </w:rPr>
        <w:t xml:space="preserve"> do Umowy nr...................</w:t>
      </w:r>
    </w:p>
    <w:p w:rsidR="0095724F" w:rsidRPr="00467ED6" w:rsidRDefault="0095724F" w:rsidP="0095724F">
      <w:pPr>
        <w:keepNext/>
        <w:keepLines/>
        <w:spacing w:before="600" w:after="240" w:line="276" w:lineRule="auto"/>
        <w:jc w:val="center"/>
        <w:outlineLvl w:val="0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KLAUZULA SANKCYJNA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843"/>
        <w:gridCol w:w="7513"/>
      </w:tblGrid>
      <w:tr w:rsidR="0095724F" w:rsidRPr="00467ED6" w:rsidTr="00CC2ECD">
        <w:trPr>
          <w:trHeight w:val="255"/>
        </w:trPr>
        <w:tc>
          <w:tcPr>
            <w:tcW w:w="184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Podmiot Objęty Sankcjami</w:t>
            </w:r>
          </w:p>
        </w:tc>
        <w:tc>
          <w:tcPr>
            <w:tcW w:w="751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oznacza podmiot należący do którejkolwiek z poniższych kategorii: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1103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podmiot, o którym mowa w art. 5k ust. 1 Rozporządzenia 833/2014, tj.:</w:t>
            </w:r>
          </w:p>
          <w:p w:rsidR="0095724F" w:rsidRPr="00467ED6" w:rsidRDefault="0095724F" w:rsidP="0095724F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165" w:hanging="567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obywatel rosyjski, osoba fizyczna, osoba prawna, podmiot lub organ z siedzibą w Rosji,</w:t>
            </w:r>
          </w:p>
          <w:p w:rsidR="0095724F" w:rsidRPr="00467ED6" w:rsidRDefault="0095724F" w:rsidP="0095724F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165" w:hanging="567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ppkt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(i) powyżej,</w:t>
            </w:r>
          </w:p>
          <w:p w:rsidR="0095724F" w:rsidRPr="00467ED6" w:rsidRDefault="0095724F" w:rsidP="0095724F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165" w:hanging="567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ppkt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(i) lub (ii) powyżej;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 wymieniony w którymkolwiek z wykazów określonych w Rozporządzeniu 765/2006;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 wymieniony w którymkolwiek z wykazów określonych w Rozporządzeniu 269/2014;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t.j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Dz. U. z 2022 r. poz. 593 z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 jest, lub po 23 lutego 2022 r. był, podmiot, o którym mowa w lit. a, b, c lub d powyżej;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podmiot, którego jednostką dominującą w rozumieniu art. 3 ust. 1 pkt 37 ustawy z dnia 29 września 1994 r. o rachunkowości (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t.j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Dz. U. z 2021 r. poz. 217 z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zm.), jest lub po 23 lutego 2022 r. był, podmiot, o którym mowa w lit. a, b, c lub d powyżej;</w:t>
            </w:r>
          </w:p>
          <w:p w:rsidR="0095724F" w:rsidRPr="00467ED6" w:rsidRDefault="0095724F" w:rsidP="0095724F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598" w:hanging="425"/>
              <w:jc w:val="bot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95724F" w:rsidRPr="00467ED6" w:rsidTr="00CC2ECD">
        <w:trPr>
          <w:trHeight w:val="300"/>
        </w:trPr>
        <w:tc>
          <w:tcPr>
            <w:tcW w:w="184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Rozporządzenie 269/2014</w:t>
            </w:r>
          </w:p>
        </w:tc>
        <w:tc>
          <w:tcPr>
            <w:tcW w:w="7513" w:type="dxa"/>
            <w:shd w:val="clear" w:color="auto" w:fill="FFFFFF"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</w:t>
            </w:r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;</w:t>
            </w:r>
          </w:p>
        </w:tc>
      </w:tr>
      <w:tr w:rsidR="0095724F" w:rsidRPr="00467ED6" w:rsidTr="00CC2ECD">
        <w:trPr>
          <w:trHeight w:val="300"/>
        </w:trPr>
        <w:tc>
          <w:tcPr>
            <w:tcW w:w="184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lastRenderedPageBreak/>
              <w:t>Rozporządzenie 765/2006</w:t>
            </w:r>
          </w:p>
        </w:tc>
        <w:tc>
          <w:tcPr>
            <w:tcW w:w="751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467ED6">
              <w:rPr>
                <w:rFonts w:ascii="Calibri" w:eastAsia="Calibri" w:hAnsi="Calibri" w:cs="Calibr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(Dz. U. UE. L. z 2006 r. Nr 134, str. 1 z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</w:t>
            </w:r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;</w:t>
            </w:r>
          </w:p>
        </w:tc>
      </w:tr>
      <w:tr w:rsidR="0095724F" w:rsidRPr="00467ED6" w:rsidTr="00CC2ECD">
        <w:trPr>
          <w:trHeight w:val="1343"/>
        </w:trPr>
        <w:tc>
          <w:tcPr>
            <w:tcW w:w="184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Rozporządzenie 833/2014</w:t>
            </w:r>
          </w:p>
        </w:tc>
        <w:tc>
          <w:tcPr>
            <w:tcW w:w="751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</w:t>
            </w:r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; </w:t>
            </w:r>
          </w:p>
        </w:tc>
      </w:tr>
      <w:tr w:rsidR="0095724F" w:rsidRPr="00467ED6" w:rsidTr="00CC2ECD">
        <w:trPr>
          <w:trHeight w:val="255"/>
        </w:trPr>
        <w:tc>
          <w:tcPr>
            <w:tcW w:w="184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Ustawa </w:t>
            </w:r>
            <w:r w:rsidRPr="00467ED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br/>
              <w:t>o przeciwdziałaniu</w:t>
            </w:r>
          </w:p>
        </w:tc>
        <w:tc>
          <w:tcPr>
            <w:tcW w:w="7513" w:type="dxa"/>
            <w:shd w:val="clear" w:color="auto" w:fill="FFFFFF"/>
            <w:hideMark/>
          </w:tcPr>
          <w:p w:rsidR="0095724F" w:rsidRPr="00467ED6" w:rsidRDefault="0095724F" w:rsidP="00CC2ECD">
            <w:pPr>
              <w:tabs>
                <w:tab w:val="right" w:pos="8932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(Dz. U. poz. 835</w:t>
            </w:r>
            <w:r w:rsidRPr="00467ED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z </w:t>
            </w:r>
            <w:proofErr w:type="spellStart"/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późn</w:t>
            </w:r>
            <w:proofErr w:type="spellEnd"/>
            <w:r w:rsidRPr="00467ED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. zm.)</w:t>
            </w:r>
            <w:r w:rsidRPr="00467ED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;</w:t>
            </w:r>
          </w:p>
        </w:tc>
      </w:tr>
    </w:tbl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bookmarkStart w:id="1" w:name="_Hlk52458150"/>
      <w:r w:rsidRPr="00467ED6">
        <w:rPr>
          <w:rFonts w:ascii="Calibri" w:eastAsia="Calibri" w:hAnsi="Calibri" w:cs="Calibri"/>
          <w:sz w:val="22"/>
          <w:szCs w:val="22"/>
          <w:lang w:eastAsia="en-US"/>
        </w:rPr>
        <w:t xml:space="preserve">Celem postanowień niniejszego załącznika jest niedopuszczenie, aby w realizacji Umowy brały udział Podmioty Objęte Sankcjami.   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niniejszym oświadcza, że na dzień zawarcia Umowy nie jest Podmiotem Objętym Sankcjami.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zapewnia i gwarantuje, że w całym okresie realizacji umowy nie będzie Podmiotem Objętym Sankcjami.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1"/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zapewnia i gwarantuje, że zawiadomi Zamawiającego, w 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Zamawiający może odstąpić od Umowy w każdym z następujących przypadków, tj. gdy:</w:t>
      </w:r>
    </w:p>
    <w:p w:rsidR="0095724F" w:rsidRPr="00467ED6" w:rsidRDefault="0095724F" w:rsidP="0095724F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lastRenderedPageBreak/>
        <w:t>oświadczenia Wykonawca zawarte w ust. 2, 3 lub 4 niniejszego załącznika lub oświadczenia jego podwykonawcy, okażą się nieprawdziwe,</w:t>
      </w:r>
    </w:p>
    <w:p w:rsidR="0095724F" w:rsidRPr="00467ED6" w:rsidRDefault="0095724F" w:rsidP="0095724F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naruszy zobowiązanie wynikające z ust. 4 niniejszego załącznika, lub</w:t>
      </w:r>
    </w:p>
    <w:p w:rsidR="0095724F" w:rsidRPr="00467ED6" w:rsidRDefault="0095724F" w:rsidP="0095724F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95724F" w:rsidRPr="00467ED6" w:rsidRDefault="0095724F" w:rsidP="0095724F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 xml:space="preserve">Zamawiający może złożyć oświadczenie o odstąpieniu od umowy na tej podstawie w terminie </w:t>
      </w:r>
      <w:r w:rsidRPr="00467ED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30 </w:t>
      </w:r>
      <w:r w:rsidRPr="00467ED6">
        <w:rPr>
          <w:rFonts w:ascii="Calibri" w:eastAsia="Calibri" w:hAnsi="Calibri" w:cs="Calibri"/>
          <w:sz w:val="22"/>
          <w:szCs w:val="22"/>
          <w:lang w:eastAsia="en-US"/>
        </w:rPr>
        <w:t>dni od powzięcia wiadomości o okoliczności stanowiącej podstawę odstąpienia.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 xml:space="preserve">Odstępując od Umowy na podstawie ust. 7 niniejszego załącznika Zamawiający może wybrać, czy odstępuje od Umowy ze skutkiem </w:t>
      </w:r>
      <w:r w:rsidRPr="00467ED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ex </w:t>
      </w:r>
      <w:proofErr w:type="spellStart"/>
      <w:r w:rsidRPr="00467ED6">
        <w:rPr>
          <w:rFonts w:ascii="Calibri" w:eastAsia="Calibri" w:hAnsi="Calibri" w:cs="Calibri"/>
          <w:i/>
          <w:sz w:val="22"/>
          <w:szCs w:val="22"/>
          <w:lang w:eastAsia="en-US"/>
        </w:rPr>
        <w:t>tunc</w:t>
      </w:r>
      <w:proofErr w:type="spellEnd"/>
      <w:r w:rsidRPr="00467ED6">
        <w:rPr>
          <w:rFonts w:ascii="Calibri" w:eastAsia="Calibri" w:hAnsi="Calibri" w:cs="Calibri"/>
          <w:sz w:val="22"/>
          <w:szCs w:val="22"/>
          <w:lang w:eastAsia="en-US"/>
        </w:rPr>
        <w:t xml:space="preserve"> czy </w:t>
      </w:r>
      <w:r w:rsidRPr="00467ED6">
        <w:rPr>
          <w:rFonts w:ascii="Calibri" w:eastAsia="Calibri" w:hAnsi="Calibri" w:cs="Calibri"/>
          <w:i/>
          <w:sz w:val="22"/>
          <w:szCs w:val="22"/>
          <w:lang w:eastAsia="en-US"/>
        </w:rPr>
        <w:t>ex nunc</w:t>
      </w:r>
      <w:r w:rsidRPr="00467ED6">
        <w:rPr>
          <w:rFonts w:ascii="Calibri" w:eastAsia="Calibri" w:hAnsi="Calibri" w:cs="Calibri"/>
          <w:sz w:val="22"/>
          <w:szCs w:val="22"/>
          <w:lang w:eastAsia="en-US"/>
        </w:rPr>
        <w:t xml:space="preserve"> oraz czy w przypadku odstąpienia ze skutkiem </w:t>
      </w:r>
      <w:r w:rsidRPr="00467ED6">
        <w:rPr>
          <w:rFonts w:ascii="Calibri" w:eastAsia="Calibri" w:hAnsi="Calibri" w:cs="Calibri"/>
          <w:i/>
          <w:sz w:val="22"/>
          <w:szCs w:val="22"/>
          <w:lang w:eastAsia="en-US"/>
        </w:rPr>
        <w:t>ex nunc</w:t>
      </w:r>
      <w:r w:rsidRPr="00467ED6">
        <w:rPr>
          <w:rFonts w:ascii="Calibri" w:eastAsia="Calibri" w:hAnsi="Calibri" w:cs="Calibri"/>
          <w:sz w:val="22"/>
          <w:szCs w:val="22"/>
          <w:lang w:eastAsia="en-US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Złożenie przez Zamawiającego oświadczenia o odstąpieniu od Umowy, na podstawie postanowień niniejszego paragrafu, stanowi odstąpienie z przyczyn leżących po stronie Wykonawcy.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:rsidR="0095724F" w:rsidRPr="00467ED6" w:rsidRDefault="0095724F" w:rsidP="0095724F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467ED6">
        <w:rPr>
          <w:rFonts w:ascii="Calibri" w:eastAsia="Calibri" w:hAnsi="Calibri" w:cs="Calibri"/>
          <w:sz w:val="22"/>
          <w:szCs w:val="22"/>
          <w:lang w:eastAsia="en-US"/>
        </w:rPr>
        <w:t>W celu uniknięcia wątpliwości Strony potwierdzają, że naruszenie zobowiązań, o których mowa w 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1E27AC" w:rsidRDefault="001E27AC"/>
    <w:sectPr w:rsidR="001E2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F"/>
    <w:rsid w:val="001E27AC"/>
    <w:rsid w:val="00723A43"/>
    <w:rsid w:val="0095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B279"/>
  <w15:chartTrackingRefBased/>
  <w15:docId w15:val="{60CEED3E-23F5-4A90-BE26-27C73667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NR4 Klauzula sankcyjna.docx</dmsv2BaseFileName>
    <dmsv2BaseDisplayName xmlns="http://schemas.microsoft.com/sharepoint/v3">ZAŁĄCZNIK NR4 Klauzula sankcyjna</dmsv2BaseDisplayName>
    <dmsv2SWPP2ObjectNumber xmlns="http://schemas.microsoft.com/sharepoint/v3" xsi:nil="true"/>
    <dmsv2SWPP2SumMD5 xmlns="http://schemas.microsoft.com/sharepoint/v3">c7faf95aa30321fb239dff540f59452d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658786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20988452</dmsv2BaseClientSystemDocumentID>
    <dmsv2BaseModifiedByID xmlns="http://schemas.microsoft.com/sharepoint/v3">12107644</dmsv2BaseModifiedByID>
    <dmsv2BaseCreatedByID xmlns="http://schemas.microsoft.com/sharepoint/v3">12107644</dmsv2BaseCreatedByID>
    <dmsv2SWPP2ObjectDepartment xmlns="http://schemas.microsoft.com/sharepoint/v3">00000001000700080000000000020004</dmsv2SWPP2ObjectDepartment>
    <dmsv2SWPP2ObjectName xmlns="http://schemas.microsoft.com/sharepoint/v3">Wniosek</dmsv2SWPP2ObjectName>
    <_dlc_DocId xmlns="a19cb1c7-c5c7-46d4-85ae-d83685407bba">AEASQFSYQUA4-921679528-9376</_dlc_DocId>
    <_dlc_DocIdUrl xmlns="a19cb1c7-c5c7-46d4-85ae-d83685407bba">
      <Url>https://swpp2.dms.gkpge.pl/sites/32/_layouts/15/DocIdRedir.aspx?ID=AEASQFSYQUA4-921679528-9376</Url>
      <Description>AEASQFSYQUA4-921679528-9376</Description>
    </_dlc_DocIdUrl>
  </documentManagement>
</p:properties>
</file>

<file path=customXml/itemProps1.xml><?xml version="1.0" encoding="utf-8"?>
<ds:datastoreItem xmlns:ds="http://schemas.openxmlformats.org/officeDocument/2006/customXml" ds:itemID="{E8917E96-CC09-4044-8E60-A329004BF043}"/>
</file>

<file path=customXml/itemProps2.xml><?xml version="1.0" encoding="utf-8"?>
<ds:datastoreItem xmlns:ds="http://schemas.openxmlformats.org/officeDocument/2006/customXml" ds:itemID="{572300F2-B8F5-428C-88CC-BEB62EDE027B}"/>
</file>

<file path=customXml/itemProps3.xml><?xml version="1.0" encoding="utf-8"?>
<ds:datastoreItem xmlns:ds="http://schemas.openxmlformats.org/officeDocument/2006/customXml" ds:itemID="{73CB2507-F6DE-4C2C-B428-9961F4AEB001}"/>
</file>

<file path=customXml/itemProps4.xml><?xml version="1.0" encoding="utf-8"?>
<ds:datastoreItem xmlns:ds="http://schemas.openxmlformats.org/officeDocument/2006/customXml" ds:itemID="{99E548E5-5C9D-4A77-ABFE-5330139D78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Bereza Barbara [PGE Dystr. O.Skarżysko-Kam.]</dc:creator>
  <cp:keywords/>
  <dc:description/>
  <cp:lastModifiedBy>Bereza Barbara [PGE Dystr. O.Skarżysko-Kam.]</cp:lastModifiedBy>
  <cp:revision>3</cp:revision>
  <dcterms:created xsi:type="dcterms:W3CDTF">2022-10-11T08:37:00Z</dcterms:created>
  <dcterms:modified xsi:type="dcterms:W3CDTF">2022-12-22T12:49:00Z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99674c82-6bc5-4be4-8c19-7f86805a407e</vt:lpwstr>
  </property>
</Properties>
</file>