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7E660C64" w14:textId="19087316" w:rsidR="001E2670" w:rsidRPr="00A955F5" w:rsidRDefault="00A955F5" w:rsidP="00A955F5">
      <w:pPr>
        <w:autoSpaceDE w:val="0"/>
        <w:autoSpaceDN w:val="0"/>
        <w:spacing w:line="260" w:lineRule="exact"/>
        <w:contextualSpacing/>
        <w:jc w:val="center"/>
        <w:rPr>
          <w:rFonts w:ascii="Arial" w:hAnsi="Arial" w:cs="Arial"/>
          <w:szCs w:val="18"/>
        </w:rPr>
      </w:pPr>
      <w:r w:rsidRPr="00A955F5">
        <w:rPr>
          <w:rFonts w:ascii="Arial" w:hAnsi="Arial" w:cs="Arial"/>
          <w:szCs w:val="18"/>
        </w:rPr>
        <w:t>Art.29a i pakiety</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0640B2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C567CF">
        <w:rPr>
          <w:rFonts w:cs="Arial"/>
          <w:b/>
          <w:sz w:val="19"/>
          <w:szCs w:val="19"/>
          <w:bdr w:val="single" w:sz="4" w:space="0" w:color="auto"/>
        </w:rPr>
        <w:t>Rzeszów</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C567CF">
        <w:rPr>
          <w:rFonts w:cs="Arial"/>
          <w:sz w:val="19"/>
          <w:szCs w:val="19"/>
          <w:bdr w:val="single" w:sz="4" w:space="0" w:color="auto"/>
        </w:rPr>
        <w:t>Rzeszowie</w:t>
      </w:r>
      <w:r w:rsidR="00E74958">
        <w:rPr>
          <w:rFonts w:cs="Arial"/>
          <w:sz w:val="19"/>
          <w:szCs w:val="19"/>
          <w:bdr w:val="single" w:sz="4" w:space="0" w:color="auto"/>
        </w:rPr>
        <w:t>,</w:t>
      </w:r>
      <w:r w:rsidR="00E74958">
        <w:rPr>
          <w:rFonts w:cs="Arial"/>
          <w:sz w:val="19"/>
          <w:szCs w:val="19"/>
        </w:rPr>
        <w:t xml:space="preserve"> 35-065 Rzeszów, u</w:t>
      </w:r>
      <w:r w:rsidR="00981A74" w:rsidRPr="005B065B">
        <w:rPr>
          <w:rFonts w:cs="Arial"/>
          <w:sz w:val="19"/>
          <w:szCs w:val="19"/>
        </w:rPr>
        <w:t xml:space="preserve">l. </w:t>
      </w:r>
      <w:r w:rsidR="00C567CF">
        <w:rPr>
          <w:rFonts w:cs="Arial"/>
          <w:sz w:val="19"/>
          <w:szCs w:val="19"/>
          <w:bdr w:val="single" w:sz="4" w:space="0" w:color="auto"/>
        </w:rPr>
        <w:t xml:space="preserve">8-go Marca 8 </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xml:space="preserve">, </w:t>
      </w:r>
      <w:r w:rsidR="00C567CF">
        <w:rPr>
          <w:rFonts w:cs="Arial"/>
          <w:sz w:val="19"/>
          <w:szCs w:val="19"/>
        </w:rPr>
        <w:t xml:space="preserve"> </w:t>
      </w:r>
      <w:r w:rsidRPr="005B065B">
        <w:rPr>
          <w:rFonts w:cs="Arial"/>
          <w:sz w:val="19"/>
          <w:szCs w:val="19"/>
        </w:rPr>
        <w:t>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1C5139BE" w:rsidR="00312334" w:rsidRPr="005B065B" w:rsidRDefault="00F53AE6" w:rsidP="00B1779E">
            <w:pPr>
              <w:spacing w:before="240" w:after="240" w:line="260" w:lineRule="exact"/>
              <w:contextualSpacing/>
              <w:rPr>
                <w:rFonts w:ascii="Arial" w:hAnsi="Arial" w:cs="Arial"/>
                <w:snapToGrid w:val="0"/>
                <w:sz w:val="19"/>
                <w:szCs w:val="19"/>
              </w:rPr>
            </w:pPr>
            <w:r>
              <w:rPr>
                <w:rFonts w:ascii="Arial" w:hAnsi="Arial" w:cs="Arial"/>
                <w:snapToGrid w:val="0"/>
                <w:sz w:val="19"/>
                <w:szCs w:val="19"/>
              </w:rPr>
              <w:t>35-065 Rzeszów, ul. 8-Marca 8</w:t>
            </w:r>
          </w:p>
        </w:tc>
        <w:tc>
          <w:tcPr>
            <w:tcW w:w="3255" w:type="dxa"/>
          </w:tcPr>
          <w:p w14:paraId="76E9AD5B" w14:textId="5FE10D21"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 xml:space="preserve">Tel. </w:t>
            </w:r>
            <w:r w:rsidR="00F53AE6">
              <w:rPr>
                <w:rFonts w:ascii="Arial" w:hAnsi="Arial" w:cs="Arial"/>
                <w:bCs/>
                <w:sz w:val="19"/>
                <w:szCs w:val="19"/>
              </w:rPr>
              <w:t>17 749 00 00</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5CA46AB"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B23826">
        <w:rPr>
          <w:rFonts w:cs="Arial"/>
          <w:sz w:val="19"/>
          <w:szCs w:val="19"/>
          <w:bdr w:val="single" w:sz="4" w:space="0" w:color="auto"/>
        </w:rPr>
        <w:t>POST/DYS/OR/OZ/02818/2024</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B23826">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07762060"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sidRPr="00B23826">
        <w:rPr>
          <w:i/>
          <w:sz w:val="19"/>
          <w:szCs w:val="19"/>
          <w:bdr w:val="single" w:sz="4" w:space="0" w:color="auto"/>
        </w:rPr>
        <w:t xml:space="preserve">do dnia </w:t>
      </w:r>
      <w:r w:rsidR="00B23826" w:rsidRPr="00B23826">
        <w:rPr>
          <w:i/>
          <w:sz w:val="19"/>
          <w:szCs w:val="19"/>
          <w:bdr w:val="single" w:sz="4" w:space="0" w:color="auto"/>
        </w:rPr>
        <w:t>21.03.2025</w:t>
      </w:r>
      <w:r w:rsidR="00C52AF9">
        <w:rPr>
          <w:i/>
          <w:sz w:val="19"/>
          <w:szCs w:val="19"/>
          <w:bdr w:val="single" w:sz="4" w:space="0" w:color="auto"/>
        </w:rPr>
        <w:t>r.</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6F622CE3" w:rsidR="008B2FEB" w:rsidRPr="00313963" w:rsidRDefault="00A33A7F"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w:t>
            </w:r>
          </w:p>
        </w:tc>
        <w:tc>
          <w:tcPr>
            <w:tcW w:w="1417" w:type="dxa"/>
            <w:tcBorders>
              <w:bottom w:val="dashed" w:sz="4" w:space="0" w:color="auto"/>
            </w:tcBorders>
            <w:vAlign w:val="center"/>
          </w:tcPr>
          <w:p w14:paraId="643C473C" w14:textId="5D8641B8"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sidR="004F0DC8">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7CFDE669" w:rsidR="008B2FEB" w:rsidRPr="00715CFB" w:rsidRDefault="008B2FEB" w:rsidP="00C52AF9">
            <w:pPr>
              <w:pStyle w:val="IIUstp"/>
              <w:numPr>
                <w:ilvl w:val="0"/>
                <w:numId w:val="0"/>
              </w:numPr>
              <w:spacing w:after="0"/>
              <w:ind w:left="360" w:right="34" w:hanging="360"/>
              <w:contextualSpacing w:val="0"/>
              <w:rPr>
                <w:i/>
                <w:color w:val="4F81BD" w:themeColor="accent1"/>
                <w:sz w:val="12"/>
                <w:szCs w:val="16"/>
              </w:rPr>
            </w:pP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7A7672CD"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1"/>
                  <w14:checkedState w14:val="2612" w14:font="MS Gothic"/>
                  <w14:uncheckedState w14:val="2610" w14:font="MS Gothic"/>
                </w14:checkbox>
              </w:sdtPr>
              <w:sdtEndPr/>
              <w:sdtContent>
                <w:r w:rsidR="00C52AF9">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1FC6576" w14:textId="6F518A7D" w:rsidR="00A33A7F" w:rsidRDefault="00A33A7F" w:rsidP="00A33A7F">
            <w:pPr>
              <w:pStyle w:val="IIIPodstawowy"/>
              <w:spacing w:line="260" w:lineRule="exact"/>
              <w:ind w:left="315" w:firstLine="2"/>
              <w:rPr>
                <w:rFonts w:cs="Arial"/>
                <w:sz w:val="19"/>
                <w:szCs w:val="19"/>
              </w:rPr>
            </w:pPr>
            <w:r>
              <w:rPr>
                <w:rFonts w:cs="Arial"/>
                <w:sz w:val="19"/>
                <w:szCs w:val="19"/>
              </w:rPr>
              <w:t>…………………..</w:t>
            </w:r>
            <w:bookmarkStart w:id="1" w:name="_GoBack"/>
            <w:bookmarkEnd w:id="1"/>
          </w:p>
          <w:p w14:paraId="26DF97F4" w14:textId="0723583A" w:rsidR="007F2420" w:rsidRPr="0097746E" w:rsidRDefault="00A33A7F" w:rsidP="00A33A7F">
            <w:pPr>
              <w:pStyle w:val="IIIPodstawowy"/>
              <w:spacing w:line="260" w:lineRule="exact"/>
              <w:ind w:left="315" w:firstLine="2"/>
              <w:rPr>
                <w:rFonts w:cs="Arial"/>
                <w:sz w:val="19"/>
                <w:szCs w:val="19"/>
              </w:rPr>
            </w:pPr>
            <w:r>
              <w:rPr>
                <w:rFonts w:cs="Arial"/>
                <w:sz w:val="19"/>
                <w:szCs w:val="19"/>
              </w:rPr>
              <w:t>T</w:t>
            </w:r>
            <w:r w:rsidR="00C52AF9">
              <w:rPr>
                <w:rFonts w:cs="Arial"/>
                <w:sz w:val="19"/>
                <w:szCs w:val="19"/>
              </w:rPr>
              <w:t xml:space="preserve">el. </w:t>
            </w:r>
            <w:r>
              <w:rPr>
                <w:rFonts w:cs="Arial"/>
                <w:sz w:val="19"/>
                <w:szCs w:val="19"/>
              </w:rPr>
              <w:t>………….</w:t>
            </w:r>
            <w:r w:rsidR="00C20F4C" w:rsidRPr="0097746E">
              <w:rPr>
                <w:rFonts w:cs="Arial"/>
                <w:sz w:val="19"/>
                <w:szCs w:val="19"/>
              </w:rPr>
              <w:t xml:space="preserve">e-mail </w:t>
            </w:r>
            <w:r>
              <w:t>……………</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0CAAB563" w:rsidR="00C20F4C" w:rsidRPr="007F2420" w:rsidRDefault="00684D7C" w:rsidP="003C4FDE">
            <w:pPr>
              <w:pStyle w:val="IIIPodstawowy"/>
              <w:spacing w:before="0" w:after="0" w:line="260" w:lineRule="exact"/>
              <w:ind w:left="318"/>
              <w:jc w:val="left"/>
              <w:rPr>
                <w:rFonts w:cs="Arial"/>
                <w:sz w:val="19"/>
                <w:szCs w:val="19"/>
              </w:rPr>
            </w:pPr>
            <w:r w:rsidRPr="007F2420">
              <w:rPr>
                <w:rFonts w:cs="Arial"/>
                <w:sz w:val="19"/>
                <w:szCs w:val="19"/>
              </w:rPr>
              <w:t>inspek</w:t>
            </w:r>
            <w:r w:rsidR="007F2420">
              <w:rPr>
                <w:rFonts w:cs="Arial"/>
                <w:sz w:val="19"/>
                <w:szCs w:val="19"/>
              </w:rPr>
              <w:t>tora nadzoru/koordynatora Umowy</w:t>
            </w:r>
          </w:p>
          <w:p w14:paraId="0755A3D8" w14:textId="04308AA1" w:rsidR="00684D7C" w:rsidRPr="00684D7C" w:rsidRDefault="00684D7C" w:rsidP="007F2420">
            <w:pPr>
              <w:pStyle w:val="IIIPodstawowy"/>
              <w:spacing w:before="0" w:after="0" w:line="260" w:lineRule="exact"/>
              <w:ind w:left="318" w:hanging="854"/>
              <w:rPr>
                <w:rFonts w:cs="Arial"/>
                <w:i/>
                <w:iCs/>
                <w:color w:val="FF0000"/>
                <w:sz w:val="19"/>
                <w:szCs w:val="19"/>
                <w:vertAlign w:val="superscript"/>
              </w:rPr>
            </w:pP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7BC964DB" w14:textId="764C00E6" w:rsidR="000F2C94" w:rsidRPr="000C28DC" w:rsidRDefault="000F2C94" w:rsidP="000C28DC">
            <w:pPr>
              <w:pStyle w:val="Styl2"/>
              <w:numPr>
                <w:ilvl w:val="0"/>
                <w:numId w:val="37"/>
              </w:numPr>
            </w:pPr>
            <w:r w:rsidRPr="00194B81">
              <w:t>Czy dla Umowy przewidziano wymóg wniesienia zabezpieczen</w:t>
            </w:r>
            <w:r w:rsidR="007F2420">
              <w:t xml:space="preserve">ia należytego wykonania Umowy: </w:t>
            </w:r>
            <w:r w:rsidRPr="007F2420">
              <w:rPr>
                <w:szCs w:val="19"/>
              </w:rPr>
              <w:t xml:space="preserve"> </w:t>
            </w:r>
          </w:p>
        </w:tc>
        <w:tc>
          <w:tcPr>
            <w:tcW w:w="1554" w:type="dxa"/>
            <w:tcBorders>
              <w:top w:val="nil"/>
              <w:left w:val="nil"/>
              <w:bottom w:val="dashed" w:sz="4" w:space="0" w:color="auto"/>
              <w:right w:val="nil"/>
            </w:tcBorders>
            <w:vAlign w:val="center"/>
          </w:tcPr>
          <w:p w14:paraId="57CCA33F" w14:textId="6744AF81" w:rsidR="000F2C94" w:rsidRPr="00B614E3" w:rsidRDefault="000F2C94" w:rsidP="007F2420">
            <w:pPr>
              <w:pStyle w:val="IIUstp"/>
              <w:numPr>
                <w:ilvl w:val="0"/>
                <w:numId w:val="0"/>
              </w:numPr>
              <w:spacing w:after="0"/>
              <w:ind w:left="159" w:right="272" w:firstLine="11"/>
              <w:contextualSpacing w:val="0"/>
              <w:rPr>
                <w:sz w:val="19"/>
              </w:rPr>
            </w:pPr>
            <w:r w:rsidRPr="001F1427">
              <w:rPr>
                <w:szCs w:val="19"/>
              </w:rPr>
              <w:t>NIE</w:t>
            </w:r>
            <w:r>
              <w:rPr>
                <w:sz w:val="19"/>
                <w:szCs w:val="19"/>
              </w:rPr>
              <w:tab/>
            </w:r>
            <w:r w:rsidR="007F2420">
              <w:rPr>
                <w:szCs w:val="19"/>
              </w:rPr>
              <w:t xml:space="preserve"> </w:t>
            </w:r>
            <w:sdt>
              <w:sdtPr>
                <w:rPr>
                  <w:szCs w:val="19"/>
                </w:rPr>
                <w:id w:val="1738735472"/>
                <w14:checkbox>
                  <w14:checked w14:val="1"/>
                  <w14:checkedState w14:val="2612" w14:font="MS Gothic"/>
                  <w14:uncheckedState w14:val="2610" w14:font="MS Gothic"/>
                </w14:checkbox>
              </w:sdtPr>
              <w:sdtEndPr/>
              <w:sdtContent>
                <w:r w:rsidR="007F2420">
                  <w:rPr>
                    <w:rFonts w:ascii="MS Gothic" w:eastAsia="MS Gothic" w:hAnsi="MS Gothic" w:hint="eastAsia"/>
                    <w:szCs w:val="19"/>
                  </w:rPr>
                  <w:t>☒</w:t>
                </w:r>
              </w:sdtContent>
            </w:sdt>
          </w:p>
        </w:tc>
      </w:tr>
    </w:tbl>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85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09"/>
        <w:gridCol w:w="1543"/>
      </w:tblGrid>
      <w:tr w:rsidR="00F336FC" w:rsidRPr="001F1427" w14:paraId="38A29941" w14:textId="4BC5D86B" w:rsidTr="001609F6">
        <w:trPr>
          <w:trHeight w:val="424"/>
        </w:trPr>
        <w:tc>
          <w:tcPr>
            <w:tcW w:w="9309" w:type="dxa"/>
            <w:tcBorders>
              <w:top w:val="nil"/>
              <w:left w:val="nil"/>
              <w:bottom w:val="dashed" w:sz="4" w:space="0" w:color="auto"/>
              <w:right w:val="nil"/>
            </w:tcBorders>
            <w:vAlign w:val="center"/>
          </w:tcPr>
          <w:p w14:paraId="5DA4DFB6" w14:textId="349E7CD1" w:rsidR="00F336FC" w:rsidRPr="00B614E3" w:rsidRDefault="00A33A7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1609F6">
              <w:rPr>
                <w:sz w:val="19"/>
                <w:szCs w:val="19"/>
              </w:rPr>
              <w:t xml:space="preserve"> Funduszu Reprywatyzacji.</w:t>
            </w:r>
          </w:p>
        </w:tc>
        <w:tc>
          <w:tcPr>
            <w:tcW w:w="1543" w:type="dxa"/>
            <w:tcBorders>
              <w:top w:val="nil"/>
              <w:left w:val="nil"/>
              <w:bottom w:val="dashed" w:sz="4" w:space="0" w:color="auto"/>
              <w:right w:val="nil"/>
            </w:tcBorders>
            <w:vAlign w:val="center"/>
          </w:tcPr>
          <w:p w14:paraId="0D8EC184" w14:textId="0F98942F"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1"/>
                  <w14:checkedState w14:val="2612" w14:font="MS Gothic"/>
                  <w14:uncheckedState w14:val="2610" w14:font="MS Gothic"/>
                </w14:checkbox>
              </w:sdtPr>
              <w:sdtEndPr/>
              <w:sdtContent>
                <w:r w:rsidR="001609F6">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1DFA392F" w:rsidR="00F45031" w:rsidRPr="00877BB6" w:rsidRDefault="00F45031" w:rsidP="007F2420">
      <w:pPr>
        <w:pStyle w:val="Styl2"/>
        <w:numPr>
          <w:ilvl w:val="0"/>
          <w:numId w:val="0"/>
        </w:numPr>
        <w:spacing w:after="0" w:line="240" w:lineRule="auto"/>
        <w:contextualSpacing w:val="0"/>
        <w:rPr>
          <w:i/>
          <w:color w:val="4F81BD" w:themeColor="accent1"/>
          <w:szCs w:val="18"/>
          <w:vertAlign w:val="subscript"/>
        </w:rPr>
      </w:pP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7F2420">
        <w:trPr>
          <w:trHeight w:val="330"/>
        </w:trPr>
        <w:tc>
          <w:tcPr>
            <w:tcW w:w="9978" w:type="dxa"/>
          </w:tcPr>
          <w:p w14:paraId="76372E5A" w14:textId="70345207" w:rsidR="00F45031" w:rsidRDefault="007F2420" w:rsidP="000273C3">
            <w:pPr>
              <w:pStyle w:val="Styl2"/>
              <w:numPr>
                <w:ilvl w:val="0"/>
                <w:numId w:val="0"/>
              </w:numPr>
              <w:spacing w:after="0" w:line="240" w:lineRule="auto"/>
              <w:contextualSpacing w:val="0"/>
              <w:rPr>
                <w:szCs w:val="18"/>
              </w:rPr>
            </w:pPr>
            <w:r>
              <w:rPr>
                <w:szCs w:val="18"/>
              </w:rPr>
              <w:t>K</w:t>
            </w:r>
            <w:r w:rsidRPr="007F2420">
              <w:rPr>
                <w:szCs w:val="18"/>
              </w:rPr>
              <w:t>oordynacji prac przy urządzeniach elektroenergetycznych</w:t>
            </w:r>
            <w:r>
              <w:rPr>
                <w:szCs w:val="18"/>
              </w:rPr>
              <w:t>.</w:t>
            </w: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E74958">
        <w:rPr>
          <w:sz w:val="19"/>
          <w:szCs w:val="19"/>
        </w:rPr>
        <w:t xml:space="preserve">. </w:t>
      </w:r>
      <w:r w:rsidR="00F45031" w:rsidRPr="00E74958">
        <w:rPr>
          <w:sz w:val="19"/>
          <w:szCs w:val="19"/>
          <w:bdr w:val="single" w:sz="4" w:space="0" w:color="auto"/>
        </w:rPr>
        <w:t>Oddział</w:t>
      </w:r>
      <w:r w:rsidR="00E74958" w:rsidRPr="00E74958">
        <w:rPr>
          <w:sz w:val="19"/>
          <w:szCs w:val="19"/>
          <w:bdr w:val="single" w:sz="4" w:space="0" w:color="auto"/>
        </w:rPr>
        <w:t xml:space="preserve"> Rzeszów</w:t>
      </w:r>
      <w:r w:rsidR="00A92DA6" w:rsidRPr="00E74958">
        <w:rPr>
          <w:sz w:val="19"/>
          <w:szCs w:val="19"/>
        </w:rPr>
        <w:t xml:space="preserve"> </w:t>
      </w:r>
      <w:r w:rsidR="00A92DA6">
        <w:rPr>
          <w:color w:val="4F81BD" w:themeColor="accent1"/>
          <w:sz w:val="19"/>
          <w:szCs w:val="19"/>
        </w:rPr>
        <w:t>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E9B226" w:rsidR="00F45031"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1609F6">
        <w:rPr>
          <w:sz w:val="19"/>
          <w:szCs w:val="19"/>
          <w:bdr w:val="single" w:sz="4" w:space="0" w:color="auto"/>
        </w:rPr>
        <w:t>magazynu RE Staszów</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7C641891" w14:textId="76982E33" w:rsidR="00FE7090" w:rsidRDefault="00FE7090" w:rsidP="00F00BFD">
      <w:pPr>
        <w:pStyle w:val="Styl2"/>
        <w:numPr>
          <w:ilvl w:val="0"/>
          <w:numId w:val="0"/>
        </w:numPr>
        <w:spacing w:after="0" w:line="240" w:lineRule="auto"/>
        <w:ind w:left="284"/>
        <w:contextualSpacing w:val="0"/>
        <w:rPr>
          <w:sz w:val="19"/>
          <w:szCs w:val="19"/>
        </w:rPr>
      </w:pPr>
    </w:p>
    <w:p w14:paraId="47316153" w14:textId="3B27B854" w:rsidR="00FE7090" w:rsidRDefault="00FE7090" w:rsidP="00F00BFD">
      <w:pPr>
        <w:pStyle w:val="Styl2"/>
        <w:numPr>
          <w:ilvl w:val="0"/>
          <w:numId w:val="0"/>
        </w:numPr>
        <w:spacing w:after="0" w:line="240" w:lineRule="auto"/>
        <w:ind w:left="284"/>
        <w:contextualSpacing w:val="0"/>
        <w:rPr>
          <w:sz w:val="19"/>
          <w:szCs w:val="19"/>
        </w:rPr>
      </w:pPr>
    </w:p>
    <w:p w14:paraId="7DD73D1D" w14:textId="77777777" w:rsidR="00FE7090" w:rsidRPr="00493C1F" w:rsidRDefault="00FE7090" w:rsidP="00F00BFD">
      <w:pPr>
        <w:pStyle w:val="Styl2"/>
        <w:numPr>
          <w:ilvl w:val="0"/>
          <w:numId w:val="0"/>
        </w:numPr>
        <w:spacing w:after="0" w:line="240" w:lineRule="auto"/>
        <w:ind w:left="284"/>
        <w:contextualSpacing w:val="0"/>
        <w:rPr>
          <w:sz w:val="19"/>
          <w:szCs w:val="19"/>
        </w:rPr>
      </w:pPr>
    </w:p>
    <w:p w14:paraId="6045988C" w14:textId="4816EFA3"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p>
    <w:p w14:paraId="68FA1DEE" w14:textId="5CEAAAAE" w:rsidR="00FD7C75" w:rsidRPr="00877BB6" w:rsidRDefault="00FD7C75" w:rsidP="00FE7090">
      <w:pPr>
        <w:pStyle w:val="IIIPodstawowy"/>
        <w:spacing w:before="0" w:after="0" w:line="260" w:lineRule="exact"/>
        <w:ind w:left="357"/>
        <w:rPr>
          <w:rFonts w:cs="Arial"/>
          <w:color w:val="4F81BD" w:themeColor="accent1"/>
          <w:sz w:val="19"/>
          <w:szCs w:val="19"/>
          <w:vertAlign w:val="subscript"/>
        </w:rPr>
      </w:pP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FE7090">
        <w:trPr>
          <w:trHeight w:val="853"/>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1243BCBD" w:rsidR="00FD7C75" w:rsidRPr="00F42E8A" w:rsidRDefault="007F2420" w:rsidP="00B90BC5">
            <w:pPr>
              <w:pStyle w:val="IIIPodstawowy"/>
              <w:spacing w:after="0" w:line="260" w:lineRule="exact"/>
              <w:rPr>
                <w:rFonts w:cs="Arial"/>
                <w:color w:val="FF0000"/>
                <w:sz w:val="19"/>
                <w:szCs w:val="19"/>
              </w:rPr>
            </w:pPr>
            <w:r w:rsidRPr="00FE7090">
              <w:rPr>
                <w:rFonts w:cs="Arial"/>
                <w:sz w:val="19"/>
                <w:szCs w:val="19"/>
              </w:rPr>
              <w:t>W uzasadnionych przypadkach dopuszcza się wydłużenie terminu złożenia inwentaryzacji geodezyjnej, przez Inicjatora postępowania</w:t>
            </w:r>
            <w:r w:rsidR="00FE7090">
              <w:rPr>
                <w:rFonts w:cs="Arial"/>
                <w:sz w:val="19"/>
                <w:szCs w:val="19"/>
              </w:rPr>
              <w:t>.</w:t>
            </w: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lastRenderedPageBreak/>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0C28DC">
        <w:trPr>
          <w:trHeight w:val="851"/>
        </w:trPr>
        <w:tc>
          <w:tcPr>
            <w:tcW w:w="9356" w:type="dxa"/>
            <w:tcBorders>
              <w:top w:val="nil"/>
              <w:left w:val="nil"/>
              <w:right w:val="nil"/>
            </w:tcBorders>
            <w:vAlign w:val="center"/>
          </w:tcPr>
          <w:p w14:paraId="6827D12E" w14:textId="2F0D870F" w:rsidR="0071652A" w:rsidRPr="000C28DC" w:rsidRDefault="0071652A" w:rsidP="000C28DC">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p>
        </w:tc>
        <w:tc>
          <w:tcPr>
            <w:tcW w:w="1554" w:type="dxa"/>
            <w:tcBorders>
              <w:top w:val="nil"/>
              <w:left w:val="nil"/>
              <w:bottom w:val="dashed" w:sz="4" w:space="0" w:color="auto"/>
              <w:right w:val="nil"/>
            </w:tcBorders>
            <w:vAlign w:val="center"/>
          </w:tcPr>
          <w:p w14:paraId="5A90ADDF" w14:textId="088312FD" w:rsidR="0071652A" w:rsidRPr="0071652A" w:rsidRDefault="0071652A" w:rsidP="000C28DC">
            <w:pPr>
              <w:adjustRightInd/>
              <w:spacing w:line="240" w:lineRule="auto"/>
              <w:ind w:right="272"/>
              <w:textAlignment w:val="auto"/>
              <w:rPr>
                <w:rFonts w:ascii="Arial" w:hAnsi="Arial" w:cs="Arial"/>
                <w:szCs w:val="22"/>
              </w:rPr>
            </w:pP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1C77C02D" w:rsidR="0071652A" w:rsidRPr="0071652A" w:rsidRDefault="000C28DC" w:rsidP="000C28DC">
      <w:pPr>
        <w:adjustRightInd/>
        <w:spacing w:line="240" w:lineRule="auto"/>
        <w:jc w:val="left"/>
        <w:textAlignment w:val="auto"/>
        <w:rPr>
          <w:rFonts w:ascii="Arial" w:hAnsi="Arial" w:cs="Arial"/>
          <w:i/>
          <w:color w:val="4F81BD" w:themeColor="accent1"/>
          <w:sz w:val="12"/>
          <w:szCs w:val="16"/>
        </w:rPr>
      </w:pPr>
      <w:r>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sidR="00F330F3">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0C28DC">
        <w:rPr>
          <w:rFonts w:ascii="Arial" w:hAnsi="Arial" w:cs="Arial"/>
          <w:sz w:val="24"/>
          <w:szCs w:val="19"/>
        </w:rPr>
        <w:t>TAK</w:t>
      </w:r>
      <w:r w:rsidRPr="000C28DC">
        <w:rPr>
          <w:rFonts w:ascii="Arial" w:hAnsi="Arial" w:cs="Arial"/>
          <w:sz w:val="24"/>
          <w:szCs w:val="19"/>
        </w:rPr>
        <w:tab/>
      </w:r>
      <w:sdt>
        <w:sdtPr>
          <w:rPr>
            <w:rFonts w:ascii="Arial" w:hAnsi="Arial" w:cs="Arial"/>
            <w:sz w:val="24"/>
            <w:szCs w:val="19"/>
          </w:rPr>
          <w:id w:val="-1810247013"/>
          <w14:checkbox>
            <w14:checked w14:val="1"/>
            <w14:checkedState w14:val="2612" w14:font="MS Gothic"/>
            <w14:uncheckedState w14:val="2610" w14:font="MS Gothic"/>
          </w14:checkbox>
        </w:sdtPr>
        <w:sdtEndPr/>
        <w:sdtContent>
          <w:r w:rsidRPr="000C28DC">
            <w:rPr>
              <w:rFonts w:ascii="Segoe UI Symbol" w:hAnsi="Segoe UI Symbol" w:cs="Segoe UI Symbol"/>
              <w:sz w:val="24"/>
              <w:szCs w:val="19"/>
            </w:rPr>
            <w:t>☒</w:t>
          </w:r>
        </w:sdtContent>
      </w:sdt>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07FE8978" w14:textId="3DA14305" w:rsidR="00FE1DAF" w:rsidRPr="00B12287" w:rsidRDefault="0066689A" w:rsidP="00B12287">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r w:rsidR="00B12287">
        <w:rPr>
          <w:rFonts w:ascii="Arial" w:hAnsi="Arial" w:cs="Arial"/>
          <w:bCs/>
          <w:sz w:val="19"/>
          <w:szCs w:val="19"/>
        </w:rPr>
        <w:t xml:space="preserve"> </w:t>
      </w:r>
      <w:r w:rsidRPr="00B12287">
        <w:rPr>
          <w:rFonts w:ascii="Arial" w:hAnsi="Arial" w:cs="Arial"/>
          <w:bCs/>
          <w:sz w:val="19"/>
          <w:szCs w:val="19"/>
        </w:rPr>
        <w:t>Umowę sporządzono</w:t>
      </w:r>
      <w:r w:rsidR="00A92DA6" w:rsidRPr="00B12287">
        <w:rPr>
          <w:rFonts w:ascii="Arial" w:hAnsi="Arial" w:cs="Arial"/>
          <w:bCs/>
          <w:sz w:val="19"/>
          <w:szCs w:val="19"/>
        </w:rPr>
        <w:t xml:space="preserve"> w </w:t>
      </w:r>
      <w:r w:rsidRPr="00B12287">
        <w:rPr>
          <w:rFonts w:ascii="Arial" w:hAnsi="Arial" w:cs="Arial"/>
          <w:bCs/>
          <w:sz w:val="19"/>
          <w:szCs w:val="19"/>
        </w:rPr>
        <w:t>dwóch jednobrzmiących egzemplarzach,</w:t>
      </w:r>
      <w:r w:rsidR="00A92DA6" w:rsidRPr="00B12287">
        <w:rPr>
          <w:rFonts w:ascii="Arial" w:hAnsi="Arial" w:cs="Arial"/>
          <w:bCs/>
          <w:sz w:val="19"/>
          <w:szCs w:val="19"/>
        </w:rPr>
        <w:t xml:space="preserve"> z </w:t>
      </w:r>
      <w:r w:rsidRPr="00B12287">
        <w:rPr>
          <w:rFonts w:ascii="Arial" w:hAnsi="Arial" w:cs="Arial"/>
          <w:bCs/>
          <w:sz w:val="19"/>
          <w:szCs w:val="19"/>
        </w:rPr>
        <w:t>który</w:t>
      </w:r>
      <w:r w:rsidR="007F37D2" w:rsidRPr="00B12287">
        <w:rPr>
          <w:rFonts w:ascii="Arial" w:hAnsi="Arial" w:cs="Arial"/>
          <w:bCs/>
          <w:sz w:val="19"/>
          <w:szCs w:val="19"/>
        </w:rPr>
        <w:t xml:space="preserve">ch jeden otrzymuje Zamawiający, </w:t>
      </w:r>
      <w:r w:rsidRPr="00B12287">
        <w:rPr>
          <w:rFonts w:ascii="Arial" w:hAnsi="Arial" w:cs="Arial"/>
          <w:bCs/>
          <w:sz w:val="19"/>
          <w:szCs w:val="19"/>
        </w:rPr>
        <w:t>a jeden Wykonawca</w:t>
      </w:r>
      <w:r w:rsidR="009112C8" w:rsidRPr="00B12287">
        <w:rPr>
          <w:rFonts w:ascii="Arial" w:hAnsi="Arial" w:cs="Arial"/>
          <w:bCs/>
          <w:sz w:val="19"/>
          <w:szCs w:val="19"/>
        </w:rPr>
        <w:t>.</w:t>
      </w:r>
    </w:p>
    <w:p w14:paraId="3C2A647E" w14:textId="398D0CBD"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w:t>
      </w:r>
      <w:r w:rsidR="00B12287">
        <w:rPr>
          <w:rFonts w:ascii="Arial" w:hAnsi="Arial" w:cs="Arial"/>
          <w:bCs/>
          <w:sz w:val="19"/>
          <w:szCs w:val="19"/>
        </w:rPr>
        <w:t>ie Strony.</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13215B07" w14:textId="2165F428" w:rsidR="0012687E" w:rsidRPr="009C6459" w:rsidRDefault="00B63C58" w:rsidP="000C28DC">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tytułu wykonanych robót budowlanych 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lastRenderedPageBreak/>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lastRenderedPageBreak/>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13AEAAC6" w14:textId="4A61F305" w:rsidR="001965C3" w:rsidRDefault="00DF6BE3" w:rsidP="0080720D">
      <w:pPr>
        <w:pStyle w:val="Styl3"/>
        <w:widowControl/>
        <w:spacing w:before="240" w:after="120"/>
        <w:jc w:val="center"/>
        <w:rPr>
          <w:rFonts w:cs="Arial"/>
          <w:sz w:val="18"/>
          <w:szCs w:val="18"/>
        </w:rPr>
      </w:pPr>
      <w:bookmarkStart w:id="27" w:name="_Ref333705879"/>
      <w:bookmarkEnd w:id="26"/>
      <w:r>
        <w:rPr>
          <w:rFonts w:cs="Arial"/>
          <w:sz w:val="18"/>
          <w:szCs w:val="18"/>
        </w:rPr>
        <w:t>§ 13</w:t>
      </w:r>
      <w:r w:rsidR="001965C3">
        <w:rPr>
          <w:rFonts w:cs="Arial"/>
          <w:sz w:val="18"/>
          <w:szCs w:val="18"/>
        </w:rPr>
        <w:t>.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 xml:space="preserve">publicznej </w:t>
      </w:r>
      <w:r w:rsidRPr="0025722F">
        <w:rPr>
          <w:szCs w:val="18"/>
        </w:rPr>
        <w:lastRenderedPageBreak/>
        <w:t>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lastRenderedPageBreak/>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1A584E3F"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roboty budowlane, również przestrzegali tych standardów.</w:t>
      </w:r>
    </w:p>
    <w:p w14:paraId="4BD033F2" w14:textId="30D1931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w:t>
      </w:r>
      <w:r w:rsidRPr="0025722F">
        <w:rPr>
          <w:rFonts w:ascii="Arial" w:eastAsia="Calibri" w:hAnsi="Arial" w:cs="Arial"/>
          <w:sz w:val="18"/>
          <w:szCs w:val="18"/>
        </w:rPr>
        <w:lastRenderedPageBreak/>
        <w:t>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Językiem Umowy i wszelkiej korespondencji Stron jest język polski. W przypadku, gdy dokumenty wymagane Umową składane przez Wykonawcę sporządzone są w języku obcym, Wykonawca dostarczy je wraz z tłumaczeniem na język polski. Odstępstwa </w:t>
      </w:r>
      <w:r w:rsidRPr="009423AA">
        <w:rPr>
          <w:rFonts w:ascii="Arial" w:hAnsi="Arial" w:cs="Arial"/>
          <w:bCs/>
          <w:sz w:val="18"/>
          <w:szCs w:val="18"/>
        </w:rPr>
        <w:lastRenderedPageBreak/>
        <w:t>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17D40" w14:textId="77777777" w:rsidR="003F63AD" w:rsidRDefault="003F63AD">
      <w:r>
        <w:separator/>
      </w:r>
    </w:p>
  </w:endnote>
  <w:endnote w:type="continuationSeparator" w:id="0">
    <w:p w14:paraId="29316BA0" w14:textId="77777777" w:rsidR="003F63AD" w:rsidRDefault="003F63AD">
      <w:r>
        <w:continuationSeparator/>
      </w:r>
    </w:p>
  </w:endnote>
  <w:endnote w:type="continuationNotice" w:id="1">
    <w:p w14:paraId="17462431" w14:textId="77777777" w:rsidR="003F63AD" w:rsidRDefault="003F63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DB60" w14:textId="77777777" w:rsidR="007F2420" w:rsidRDefault="007F24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7792BCB" w:rsidR="007F2420" w:rsidRDefault="007F2420" w:rsidP="009F5A4C">
        <w:pPr>
          <w:pStyle w:val="Stopka"/>
          <w:jc w:val="right"/>
        </w:pPr>
        <w:r>
          <w:fldChar w:fldCharType="begin"/>
        </w:r>
        <w:r>
          <w:instrText>PAGE   \* MERGEFORMAT</w:instrText>
        </w:r>
        <w:r>
          <w:fldChar w:fldCharType="separate"/>
        </w:r>
        <w:r w:rsidR="00A33A7F">
          <w:rPr>
            <w:noProof/>
          </w:rPr>
          <w:t>2</w:t>
        </w:r>
        <w:r>
          <w:fldChar w:fldCharType="end"/>
        </w:r>
      </w:p>
    </w:sdtContent>
  </w:sdt>
  <w:p w14:paraId="533FF8D1" w14:textId="77777777" w:rsidR="007F2420" w:rsidRDefault="007F24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F2420" w:rsidRPr="00472B1E" w:rsidRDefault="007F242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F2420" w:rsidRDefault="007F242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3EBC20C1" w:rsidR="007F2420" w:rsidRDefault="007F2420">
        <w:pPr>
          <w:pStyle w:val="Stopka"/>
          <w:jc w:val="center"/>
        </w:pPr>
        <w:r>
          <w:fldChar w:fldCharType="begin"/>
        </w:r>
        <w:r>
          <w:instrText>PAGE   \* MERGEFORMAT</w:instrText>
        </w:r>
        <w:r>
          <w:fldChar w:fldCharType="separate"/>
        </w:r>
        <w:r w:rsidR="00A33A7F">
          <w:rPr>
            <w:noProof/>
          </w:rPr>
          <w:t>1</w:t>
        </w:r>
        <w:r>
          <w:fldChar w:fldCharType="end"/>
        </w:r>
      </w:p>
    </w:sdtContent>
  </w:sdt>
  <w:p w14:paraId="2082B405" w14:textId="77777777" w:rsidR="007F2420" w:rsidRDefault="007F24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E6EE2" w14:textId="77777777" w:rsidR="003F63AD" w:rsidRDefault="003F63AD">
      <w:r>
        <w:separator/>
      </w:r>
    </w:p>
  </w:footnote>
  <w:footnote w:type="continuationSeparator" w:id="0">
    <w:p w14:paraId="6530A3D7" w14:textId="77777777" w:rsidR="003F63AD" w:rsidRDefault="003F63AD">
      <w:r>
        <w:continuationSeparator/>
      </w:r>
    </w:p>
  </w:footnote>
  <w:footnote w:type="continuationNotice" w:id="1">
    <w:p w14:paraId="268B7BD5" w14:textId="77777777" w:rsidR="003F63AD" w:rsidRDefault="003F63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86FDF" w14:textId="77777777" w:rsidR="007F2420" w:rsidRDefault="007F24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7F2420" w:rsidRPr="00F42E8A" w:rsidRDefault="007F2420"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7F2420" w:rsidRPr="00312334" w:rsidRDefault="007F2420"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F2420" w:rsidRPr="00312334" w:rsidRDefault="007F242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7F2420" w:rsidRDefault="007F242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7F2420" w:rsidRPr="00312334" w:rsidRDefault="007F242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3070C83C"/>
    <w:lvl w:ilvl="0" w:tplc="13EA7BAC">
      <w:start w:val="1"/>
      <w:numFmt w:val="decimal"/>
      <w:lvlText w:val="%1."/>
      <w:lvlJc w:val="left"/>
      <w:pPr>
        <w:ind w:left="436" w:hanging="360"/>
      </w:pPr>
      <w:rPr>
        <w:rFonts w:ascii="Times New Roman" w:hAnsi="Times New Roman" w:cs="Times New Roman" w:hint="default"/>
        <w:b w:val="0"/>
        <w:color w:val="auto"/>
        <w:sz w:val="20"/>
        <w:szCs w:val="20"/>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1F9"/>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8DC"/>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09F6"/>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32A"/>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1E4"/>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6C4"/>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3AD"/>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5F09"/>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420"/>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927"/>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2D99"/>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3A7F"/>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2287"/>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3826"/>
    <w:rsid w:val="00B242A4"/>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DB2"/>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AF9"/>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DF6BE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16EF"/>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3AE6"/>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09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Art.29a wzór umowy na RB i OWU.docx</dmsv2BaseFileName>
    <dmsv2BaseDisplayName xmlns="http://schemas.microsoft.com/sharepoint/v3">Załącznik nr 5 do SWZ - Art.29a wzór umowy na RB i OWU</dmsv2BaseDisplayName>
    <dmsv2SWPP2ObjectNumber xmlns="http://schemas.microsoft.com/sharepoint/v3">POST/DYS/OR/OZ/02818/2024                         </dmsv2SWPP2ObjectNumber>
    <dmsv2SWPP2SumMD5 xmlns="http://schemas.microsoft.com/sharepoint/v3">c282046e1e230cfa9b58c874499421a7</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20714833</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ZKQJDXMXURTQ-1688516315-8457</_dlc_DocId>
    <_dlc_DocIdUrl xmlns="a19cb1c7-c5c7-46d4-85ae-d83685407bba">
      <Url>https://swpp2.dms.gkpge.pl/sites/31/_layouts/15/DocIdRedir.aspx?ID=ZKQJDXMXURTQ-1688516315-8457</Url>
      <Description>ZKQJDXMXURTQ-1688516315-8457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9A194-E1C6-468A-B10A-02ADAE1565F4}">
  <ds:schemaRefs>
    <ds:schemaRef ds:uri="http://schemas.microsoft.com/sharepoint/events"/>
  </ds:schemaRefs>
</ds:datastoreItem>
</file>

<file path=customXml/itemProps2.xml><?xml version="1.0" encoding="utf-8"?>
<ds:datastoreItem xmlns:ds="http://schemas.openxmlformats.org/officeDocument/2006/customXml" ds:itemID="{37723114-988E-4015-BC29-90FF830B3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173BA113-2FD2-486D-8E88-2E8E58CE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20</Pages>
  <Words>16508</Words>
  <Characters>99048</Characters>
  <Application>Microsoft Office Word</Application>
  <DocSecurity>0</DocSecurity>
  <Lines>825</Lines>
  <Paragraphs>230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115326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Ruszel Wiesław [PGE Dystr. O.Rzeszów]</cp:lastModifiedBy>
  <cp:revision>25</cp:revision>
  <cp:lastPrinted>2024-09-05T05:52:00Z</cp:lastPrinted>
  <dcterms:created xsi:type="dcterms:W3CDTF">2024-09-18T08:25:00Z</dcterms:created>
  <dcterms:modified xsi:type="dcterms:W3CDTF">2024-10-09T12:12:00Z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ocset_NoMedatataSyncRequired">
    <vt:lpwstr>False</vt:lpwstr>
  </property>
  <property fmtid="{D5CDD505-2E9C-101B-9397-08002B2CF9AE}" pid="4" name="_dlc_DocIdItemGuid">
    <vt:lpwstr>060c5cf7-774d-4c9d-b646-6493974f9f63</vt:lpwstr>
  </property>
</Properties>
</file>