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0F4EC4FD"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742956">
        <w:rPr>
          <w:rFonts w:cs="Calibri"/>
          <w:b/>
          <w:caps/>
          <w:kern w:val="28"/>
        </w:rPr>
        <w:t>0</w:t>
      </w:r>
      <w:r w:rsidR="006474D6">
        <w:rPr>
          <w:rFonts w:cs="Calibri"/>
          <w:b/>
          <w:caps/>
          <w:kern w:val="28"/>
        </w:rPr>
        <w:t>2753</w:t>
      </w:r>
      <w:r w:rsidRPr="005A442B">
        <w:rPr>
          <w:rFonts w:cs="Calibri"/>
          <w:b/>
          <w:caps/>
          <w:kern w:val="28"/>
        </w:rPr>
        <w:t>/</w:t>
      </w:r>
      <w:r w:rsidR="00B67D6F" w:rsidRPr="005A442B">
        <w:rPr>
          <w:rFonts w:cs="Calibri"/>
          <w:b/>
          <w:caps/>
          <w:kern w:val="28"/>
        </w:rPr>
        <w:t>202</w:t>
      </w:r>
      <w:r w:rsidR="009C3C45">
        <w:rPr>
          <w:rFonts w:cs="Calibri"/>
          <w:b/>
          <w:caps/>
          <w:kern w:val="28"/>
        </w:rPr>
        <w:t>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126"/>
        <w:gridCol w:w="3827"/>
      </w:tblGrid>
      <w:tr w:rsidR="00E957A1" w:rsidRPr="006B56FD" w14:paraId="0909D2BA" w14:textId="77777777" w:rsidTr="009363F1">
        <w:trPr>
          <w:trHeight w:val="1820"/>
        </w:trPr>
        <w:tc>
          <w:tcPr>
            <w:tcW w:w="3656" w:type="dxa"/>
            <w:tcBorders>
              <w:top w:val="thinThickSmallGap" w:sz="12" w:space="0" w:color="0070C0"/>
              <w:bottom w:val="thinThickSmallGap" w:sz="12" w:space="0" w:color="0070C0"/>
            </w:tcBorders>
          </w:tcPr>
          <w:bookmarkEnd w:id="3"/>
          <w:bookmarkEnd w:id="4"/>
          <w:p w14:paraId="75687590" w14:textId="77777777" w:rsidR="00E957A1" w:rsidRPr="00F93173" w:rsidRDefault="00E957A1"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37308C7" w14:textId="77777777" w:rsidR="00E957A1" w:rsidRPr="00A534C2" w:rsidRDefault="00E957A1" w:rsidP="00970243">
            <w:pPr>
              <w:spacing w:line="360" w:lineRule="auto"/>
              <w:jc w:val="center"/>
              <w:rPr>
                <w:rFonts w:asciiTheme="minorHAnsi" w:eastAsiaTheme="majorEastAsia" w:hAnsiTheme="minorHAnsi" w:cstheme="majorBidi"/>
                <w:iCs/>
                <w:sz w:val="20"/>
              </w:rPr>
            </w:pPr>
          </w:p>
          <w:p w14:paraId="2F2490B0" w14:textId="77777777" w:rsidR="00E957A1" w:rsidRPr="00A534C2" w:rsidRDefault="00E957A1" w:rsidP="00970243">
            <w:pPr>
              <w:spacing w:line="360" w:lineRule="auto"/>
              <w:jc w:val="center"/>
              <w:rPr>
                <w:rFonts w:asciiTheme="minorHAnsi" w:eastAsiaTheme="majorEastAsia" w:hAnsiTheme="minorHAnsi" w:cstheme="majorBidi"/>
                <w:iCs/>
                <w:sz w:val="20"/>
              </w:rPr>
            </w:pPr>
          </w:p>
          <w:p w14:paraId="28CF73F9" w14:textId="77777777" w:rsidR="00E957A1" w:rsidRPr="00A534C2" w:rsidRDefault="00E957A1" w:rsidP="00970243">
            <w:pPr>
              <w:spacing w:line="360" w:lineRule="auto"/>
              <w:jc w:val="center"/>
              <w:rPr>
                <w:rFonts w:asciiTheme="minorHAnsi" w:eastAsiaTheme="majorEastAsia" w:hAnsiTheme="minorHAnsi" w:cstheme="majorBidi"/>
                <w:iCs/>
                <w:sz w:val="20"/>
              </w:rPr>
            </w:pPr>
          </w:p>
          <w:p w14:paraId="39A0EE99" w14:textId="77777777" w:rsidR="00E957A1" w:rsidRPr="00D23A7E" w:rsidRDefault="00E957A1"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126" w:type="dxa"/>
          </w:tcPr>
          <w:p w14:paraId="6DEE46EF" w14:textId="77777777" w:rsidR="00E957A1" w:rsidRPr="006B56FD" w:rsidRDefault="00E957A1" w:rsidP="00970243">
            <w:pPr>
              <w:spacing w:line="360" w:lineRule="auto"/>
              <w:rPr>
                <w:rFonts w:asciiTheme="minorHAnsi" w:eastAsiaTheme="majorEastAsia" w:hAnsiTheme="minorHAnsi" w:cstheme="minorHAnsi"/>
                <w:b/>
                <w:i/>
                <w:iCs/>
                <w:sz w:val="20"/>
                <w:u w:val="single"/>
              </w:rPr>
            </w:pPr>
          </w:p>
        </w:tc>
        <w:tc>
          <w:tcPr>
            <w:tcW w:w="3827" w:type="dxa"/>
            <w:tcBorders>
              <w:top w:val="thinThickSmallGap" w:sz="12" w:space="0" w:color="0070C0"/>
              <w:bottom w:val="thinThickSmallGap" w:sz="12" w:space="0" w:color="0070C0"/>
            </w:tcBorders>
          </w:tcPr>
          <w:p w14:paraId="6924397B" w14:textId="77777777" w:rsidR="00E957A1" w:rsidRDefault="00E957A1"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E957A1" w:rsidRPr="00FD4A2B" w:rsidRDefault="00E957A1" w:rsidP="00970243">
            <w:pPr>
              <w:spacing w:line="360" w:lineRule="auto"/>
              <w:rPr>
                <w:rFonts w:asciiTheme="minorHAnsi" w:eastAsiaTheme="majorEastAsia" w:hAnsiTheme="minorHAnsi" w:cstheme="majorBidi"/>
                <w:b/>
                <w:i/>
                <w:iCs/>
                <w:sz w:val="10"/>
                <w:szCs w:val="16"/>
                <w:u w:val="single"/>
              </w:rPr>
            </w:pPr>
          </w:p>
          <w:p w14:paraId="6EB37854" w14:textId="77777777" w:rsidR="00E957A1" w:rsidRPr="00FD4A2B" w:rsidRDefault="00E957A1"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E957A1" w:rsidRPr="00086D98" w:rsidRDefault="00E957A1"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E957A1" w:rsidRPr="00D23A7E" w:rsidRDefault="00E957A1"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48EF26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00092471" w:rsidRPr="005D3B0E">
        <w:rPr>
          <w:rFonts w:ascii="Calibri" w:hAnsi="Calibri" w:cs="Arial"/>
          <w:b/>
          <w:snapToGrid w:val="0"/>
          <w:color w:val="000000"/>
          <w:sz w:val="22"/>
          <w:szCs w:val="22"/>
        </w:rPr>
        <w:t>„</w:t>
      </w:r>
      <w:r w:rsidR="00380ECE" w:rsidRPr="00380ECE">
        <w:rPr>
          <w:rFonts w:asciiTheme="minorHAnsi" w:hAnsiTheme="minorHAnsi" w:cstheme="minorHAnsi"/>
          <w:b/>
          <w:sz w:val="22"/>
          <w:szCs w:val="22"/>
        </w:rPr>
        <w:t>Przyłączenie nowych odbiorców na terenie RE Krosno polegające na budowie 3 stacji transformatorowych 15/0,4kV do zasilania obiektów w Krośnie, Jaśle i Skołyszynie –  3 zadania pod klucz</w:t>
      </w:r>
      <w:r w:rsidR="00092471" w:rsidRPr="005D3B0E">
        <w:rPr>
          <w:rFonts w:ascii="Calibri" w:hAnsi="Calibri" w:cs="Arial"/>
          <w:b/>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4E09B0">
        <w:tc>
          <w:tcPr>
            <w:tcW w:w="191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299"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4E09B0">
        <w:tc>
          <w:tcPr>
            <w:tcW w:w="191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299"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4E09B0">
        <w:tc>
          <w:tcPr>
            <w:tcW w:w="191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299"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4E09B0">
        <w:tc>
          <w:tcPr>
            <w:tcW w:w="191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299"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r w:rsidR="00742C11" w:rsidRPr="00B126F2" w14:paraId="7912A52C" w14:textId="77777777" w:rsidTr="004E09B0">
        <w:tc>
          <w:tcPr>
            <w:tcW w:w="9209" w:type="dxa"/>
            <w:gridSpan w:val="2"/>
            <w:shd w:val="clear" w:color="auto" w:fill="DBE5F1" w:themeFill="accent1" w:themeFillTint="33"/>
            <w:vAlign w:val="center"/>
          </w:tcPr>
          <w:p w14:paraId="1D2A412A" w14:textId="366CC209" w:rsidR="00742C11" w:rsidRPr="004A6701" w:rsidRDefault="0035236A" w:rsidP="00092471">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sidR="00742C11">
              <w:rPr>
                <w:rFonts w:asciiTheme="minorHAnsi" w:hAnsiTheme="minorHAnsi" w:cs="Arial"/>
                <w:b/>
                <w:szCs w:val="22"/>
                <w:highlight w:val="yellow"/>
                <w:lang w:eastAsia="pl-PL"/>
              </w:rPr>
              <w:t xml:space="preserve"> </w:t>
            </w:r>
          </w:p>
        </w:tc>
      </w:tr>
      <w:tr w:rsidR="00742C11" w:rsidRPr="00B126F2" w14:paraId="08B89FD3" w14:textId="77777777" w:rsidTr="004E09B0">
        <w:tc>
          <w:tcPr>
            <w:tcW w:w="1910" w:type="dxa"/>
            <w:shd w:val="clear" w:color="auto" w:fill="DBE5F1" w:themeFill="accent1" w:themeFillTint="33"/>
            <w:vAlign w:val="center"/>
          </w:tcPr>
          <w:p w14:paraId="5B577CAC"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299" w:type="dxa"/>
            <w:shd w:val="clear" w:color="auto" w:fill="auto"/>
            <w:vAlign w:val="center"/>
          </w:tcPr>
          <w:p w14:paraId="4656BDB5"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6A0F9110" w14:textId="77777777" w:rsidTr="004E09B0">
        <w:tc>
          <w:tcPr>
            <w:tcW w:w="1910" w:type="dxa"/>
            <w:shd w:val="clear" w:color="auto" w:fill="DBE5F1" w:themeFill="accent1" w:themeFillTint="33"/>
            <w:vAlign w:val="center"/>
          </w:tcPr>
          <w:p w14:paraId="2DD817AD"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299" w:type="dxa"/>
            <w:shd w:val="clear" w:color="auto" w:fill="auto"/>
            <w:vAlign w:val="center"/>
          </w:tcPr>
          <w:p w14:paraId="56112043"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58EEA373" w14:textId="77777777" w:rsidTr="004E09B0">
        <w:tc>
          <w:tcPr>
            <w:tcW w:w="1910" w:type="dxa"/>
            <w:shd w:val="clear" w:color="auto" w:fill="DBE5F1" w:themeFill="accent1" w:themeFillTint="33"/>
            <w:vAlign w:val="center"/>
          </w:tcPr>
          <w:p w14:paraId="723D1423"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299" w:type="dxa"/>
            <w:shd w:val="clear" w:color="auto" w:fill="auto"/>
            <w:vAlign w:val="center"/>
          </w:tcPr>
          <w:p w14:paraId="2C3A7030"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2BDFBB82" w14:textId="77777777" w:rsidTr="004E09B0">
        <w:tc>
          <w:tcPr>
            <w:tcW w:w="1910" w:type="dxa"/>
            <w:shd w:val="clear" w:color="auto" w:fill="DBE5F1" w:themeFill="accent1" w:themeFillTint="33"/>
            <w:vAlign w:val="center"/>
          </w:tcPr>
          <w:p w14:paraId="56014D97"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299" w:type="dxa"/>
            <w:shd w:val="clear" w:color="auto" w:fill="auto"/>
            <w:vAlign w:val="center"/>
          </w:tcPr>
          <w:p w14:paraId="0B0A7965"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8B54CDD"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6474D6">
        <w:rPr>
          <w:rFonts w:cs="Calibri"/>
          <w:b/>
        </w:rPr>
        <w:t>……</w:t>
      </w: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1FCAD988"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 xml:space="preserve">według stawki </w:t>
      </w:r>
      <w:r w:rsidR="00742956">
        <w:rPr>
          <w:rFonts w:cs="Calibri"/>
        </w:rPr>
        <w:t>23</w:t>
      </w:r>
      <w:r w:rsidRPr="00742C11">
        <w:rPr>
          <w:rFonts w:cs="Calibri"/>
        </w:rPr>
        <w:t xml:space="preserve"> %</w:t>
      </w:r>
    </w:p>
    <w:p w14:paraId="116E1F77" w14:textId="6CCDA57B"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24D97741" w14:textId="77777777" w:rsidR="006E3D35" w:rsidRPr="006E3D35" w:rsidRDefault="006E3D35" w:rsidP="00C7474F">
      <w:pPr>
        <w:keepNext/>
        <w:spacing w:after="120" w:line="240" w:lineRule="auto"/>
        <w:rPr>
          <w:rFonts w:cs="Calibri"/>
        </w:rPr>
      </w:pPr>
      <w:r w:rsidRPr="006E3D35">
        <w:rPr>
          <w:rFonts w:cs="Calibri"/>
        </w:rPr>
        <w:lastRenderedPageBreak/>
        <w:t>Na łączną cenę przedmiotu Zamówienia składają się ceny jednostkowe przedstawione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0"/>
        <w:gridCol w:w="1742"/>
        <w:gridCol w:w="1746"/>
        <w:gridCol w:w="1745"/>
        <w:gridCol w:w="1745"/>
      </w:tblGrid>
      <w:tr w:rsidR="006E3D35" w:rsidRPr="006E3D35" w14:paraId="06EDB9EE" w14:textId="77777777" w:rsidTr="00C7474F">
        <w:trPr>
          <w:trHeight w:val="70"/>
          <w:jc w:val="center"/>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C0AF63" w14:textId="77777777" w:rsidR="006E3D35" w:rsidRPr="006E3D35" w:rsidRDefault="006E3D35" w:rsidP="00C7474F">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153A57" w14:textId="77777777" w:rsidR="006E3D35" w:rsidRPr="006E3D35" w:rsidRDefault="006E3D35" w:rsidP="00C7474F">
            <w:pPr>
              <w:keepNext/>
              <w:spacing w:line="240" w:lineRule="auto"/>
              <w:jc w:val="center"/>
              <w:rPr>
                <w:b/>
                <w:szCs w:val="22"/>
              </w:rPr>
            </w:pPr>
            <w:r w:rsidRPr="006E3D35">
              <w:rPr>
                <w:b/>
                <w:szCs w:val="22"/>
              </w:rPr>
              <w:t>Cena netto</w:t>
            </w:r>
          </w:p>
          <w:p w14:paraId="256BD920" w14:textId="77777777" w:rsidR="006E3D35" w:rsidRPr="006E3D35" w:rsidRDefault="006E3D35" w:rsidP="00C7474F">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57558F9" w14:textId="77777777" w:rsidR="006E3D35" w:rsidRPr="006E3D35" w:rsidRDefault="006E3D35" w:rsidP="00C7474F">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1E312B5" w14:textId="77777777" w:rsidR="006E3D35" w:rsidRPr="006E3D35" w:rsidRDefault="006E3D35" w:rsidP="00C7474F">
            <w:pPr>
              <w:keepNext/>
              <w:spacing w:line="240" w:lineRule="auto"/>
              <w:jc w:val="center"/>
              <w:rPr>
                <w:b/>
                <w:szCs w:val="22"/>
              </w:rPr>
            </w:pPr>
            <w:r w:rsidRPr="006E3D35">
              <w:rPr>
                <w:b/>
                <w:szCs w:val="22"/>
              </w:rPr>
              <w:t>Podatek VAT</w:t>
            </w:r>
          </w:p>
          <w:p w14:paraId="2F51AA2F" w14:textId="77777777" w:rsidR="006E3D35" w:rsidRPr="006E3D35" w:rsidRDefault="006E3D35" w:rsidP="00C7474F">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FA8D6F" w14:textId="77777777" w:rsidR="006E3D35" w:rsidRPr="006E3D35" w:rsidRDefault="006E3D35" w:rsidP="00C7474F">
            <w:pPr>
              <w:keepNext/>
              <w:spacing w:line="240" w:lineRule="auto"/>
              <w:jc w:val="center"/>
              <w:rPr>
                <w:b/>
                <w:szCs w:val="22"/>
              </w:rPr>
            </w:pPr>
            <w:r w:rsidRPr="006E3D35">
              <w:rPr>
                <w:b/>
                <w:szCs w:val="22"/>
              </w:rPr>
              <w:t>Cena brutto</w:t>
            </w:r>
          </w:p>
          <w:p w14:paraId="2910DCA7" w14:textId="77777777" w:rsidR="006E3D35" w:rsidRPr="006E3D35" w:rsidRDefault="006E3D35" w:rsidP="00C7474F">
            <w:pPr>
              <w:keepNext/>
              <w:spacing w:line="240" w:lineRule="auto"/>
              <w:jc w:val="center"/>
              <w:rPr>
                <w:b/>
                <w:szCs w:val="22"/>
              </w:rPr>
            </w:pPr>
            <w:r w:rsidRPr="006E3D35">
              <w:rPr>
                <w:b/>
                <w:szCs w:val="22"/>
              </w:rPr>
              <w:t>[zł]</w:t>
            </w:r>
          </w:p>
        </w:tc>
      </w:tr>
      <w:tr w:rsidR="006E3D35" w:rsidRPr="006E3D35" w14:paraId="2AA57AA3" w14:textId="77777777" w:rsidTr="00C7474F">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14:paraId="690288F8" w14:textId="09F5211B" w:rsidR="006E3D35" w:rsidRPr="006E3D35" w:rsidRDefault="006E3D35" w:rsidP="00C7474F">
            <w:pPr>
              <w:keepNext/>
              <w:spacing w:before="100" w:beforeAutospacing="1" w:after="100" w:afterAutospacing="1" w:line="240" w:lineRule="auto"/>
              <w:jc w:val="left"/>
              <w:rPr>
                <w:rFonts w:cs="Calibri"/>
                <w:b/>
              </w:rPr>
            </w:pPr>
            <w:r w:rsidRPr="006E3D35">
              <w:rPr>
                <w:rFonts w:cs="Calibri"/>
                <w:b/>
              </w:rPr>
              <w:t>Dokumentacja</w:t>
            </w:r>
            <w:r w:rsidR="00C7474F">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vAlign w:val="center"/>
          </w:tcPr>
          <w:p w14:paraId="214D8410" w14:textId="77777777" w:rsidR="006E3D35" w:rsidRPr="006E3D35" w:rsidRDefault="006E3D35" w:rsidP="00C7474F">
            <w:pPr>
              <w:keepNext/>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vAlign w:val="center"/>
          </w:tcPr>
          <w:p w14:paraId="35D017DB" w14:textId="77777777" w:rsidR="006E3D35" w:rsidRPr="006E3D35" w:rsidRDefault="006E3D35" w:rsidP="00C7474F">
            <w:pPr>
              <w:keepNext/>
              <w:spacing w:before="100" w:beforeAutospacing="1" w:after="100" w:afterAutospacing="1" w:line="240" w:lineRule="auto"/>
              <w:jc w:val="right"/>
              <w:rPr>
                <w:rFonts w:cs="Calibri"/>
                <w:b/>
              </w:rPr>
            </w:pPr>
          </w:p>
        </w:tc>
        <w:tc>
          <w:tcPr>
            <w:tcW w:w="1749" w:type="dxa"/>
            <w:tcBorders>
              <w:top w:val="single" w:sz="4" w:space="0" w:color="auto"/>
              <w:left w:val="single" w:sz="4" w:space="0" w:color="auto"/>
              <w:bottom w:val="single" w:sz="4" w:space="0" w:color="auto"/>
              <w:right w:val="single" w:sz="4" w:space="0" w:color="auto"/>
            </w:tcBorders>
            <w:vAlign w:val="center"/>
          </w:tcPr>
          <w:p w14:paraId="0B2FEF53" w14:textId="77777777" w:rsidR="006E3D35" w:rsidRPr="006E3D35" w:rsidRDefault="006E3D35" w:rsidP="00C7474F">
            <w:pPr>
              <w:keepNext/>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vAlign w:val="center"/>
          </w:tcPr>
          <w:p w14:paraId="48FCF08F" w14:textId="77777777" w:rsidR="006E3D35" w:rsidRPr="006E3D35" w:rsidRDefault="006E3D35" w:rsidP="00C7474F">
            <w:pPr>
              <w:keepNext/>
              <w:spacing w:before="100" w:beforeAutospacing="1" w:after="100" w:afterAutospacing="1" w:line="240" w:lineRule="auto"/>
              <w:jc w:val="right"/>
              <w:rPr>
                <w:rFonts w:cs="Calibri"/>
                <w:b/>
              </w:rPr>
            </w:pPr>
          </w:p>
        </w:tc>
      </w:tr>
      <w:tr w:rsidR="006E3D35" w:rsidRPr="006E3D35" w14:paraId="405660D8" w14:textId="77777777" w:rsidTr="00C7474F">
        <w:trPr>
          <w:trHeight w:val="340"/>
          <w:jc w:val="center"/>
        </w:trPr>
        <w:tc>
          <w:tcPr>
            <w:tcW w:w="2469" w:type="dxa"/>
            <w:tcBorders>
              <w:top w:val="single" w:sz="4" w:space="0" w:color="auto"/>
              <w:left w:val="single" w:sz="4" w:space="0" w:color="auto"/>
              <w:bottom w:val="single" w:sz="4" w:space="0" w:color="auto"/>
              <w:right w:val="single" w:sz="4" w:space="0" w:color="auto"/>
            </w:tcBorders>
            <w:vAlign w:val="center"/>
            <w:hideMark/>
          </w:tcPr>
          <w:p w14:paraId="295E8D24" w14:textId="77777777" w:rsidR="006E3D35" w:rsidRPr="006E3D35" w:rsidRDefault="006E3D35" w:rsidP="00C7474F">
            <w:pPr>
              <w:keepNext/>
              <w:spacing w:before="100" w:beforeAutospacing="1" w:after="100" w:afterAutospacing="1" w:line="240" w:lineRule="auto"/>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vAlign w:val="center"/>
          </w:tcPr>
          <w:p w14:paraId="2B597452" w14:textId="77777777" w:rsidR="006E3D35" w:rsidRPr="006E3D35" w:rsidRDefault="006E3D35" w:rsidP="00C7474F">
            <w:pPr>
              <w:keepNext/>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vAlign w:val="center"/>
          </w:tcPr>
          <w:p w14:paraId="21D04A41" w14:textId="77777777" w:rsidR="006E3D35" w:rsidRPr="006E3D35" w:rsidRDefault="006E3D35" w:rsidP="00C7474F">
            <w:pPr>
              <w:keepNext/>
              <w:spacing w:before="100" w:beforeAutospacing="1" w:after="100" w:afterAutospacing="1" w:line="240" w:lineRule="auto"/>
              <w:jc w:val="right"/>
              <w:rPr>
                <w:rFonts w:cs="Calibri"/>
                <w:b/>
              </w:rPr>
            </w:pPr>
          </w:p>
        </w:tc>
        <w:tc>
          <w:tcPr>
            <w:tcW w:w="1749" w:type="dxa"/>
            <w:tcBorders>
              <w:top w:val="single" w:sz="4" w:space="0" w:color="auto"/>
              <w:left w:val="single" w:sz="4" w:space="0" w:color="auto"/>
              <w:bottom w:val="single" w:sz="4" w:space="0" w:color="auto"/>
              <w:right w:val="single" w:sz="4" w:space="0" w:color="auto"/>
            </w:tcBorders>
            <w:vAlign w:val="center"/>
          </w:tcPr>
          <w:p w14:paraId="4EBD58A2" w14:textId="77777777" w:rsidR="006E3D35" w:rsidRPr="006E3D35" w:rsidRDefault="006E3D35" w:rsidP="00C7474F">
            <w:pPr>
              <w:keepNext/>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vAlign w:val="center"/>
          </w:tcPr>
          <w:p w14:paraId="50FE2175" w14:textId="77777777" w:rsidR="006E3D35" w:rsidRPr="006E3D35" w:rsidRDefault="006E3D35" w:rsidP="00C7474F">
            <w:pPr>
              <w:keepNext/>
              <w:spacing w:before="100" w:beforeAutospacing="1" w:after="100" w:afterAutospacing="1" w:line="240" w:lineRule="auto"/>
              <w:jc w:val="right"/>
              <w:rPr>
                <w:rFonts w:cs="Calibri"/>
                <w:b/>
              </w:rPr>
            </w:pPr>
          </w:p>
        </w:tc>
      </w:tr>
      <w:tr w:rsidR="006E3D35" w:rsidRPr="006E3D35" w14:paraId="6810DAED" w14:textId="77777777" w:rsidTr="00C7474F">
        <w:trPr>
          <w:trHeight w:val="340"/>
          <w:jc w:val="center"/>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CCE020E" w14:textId="77777777" w:rsidR="006E3D35" w:rsidRPr="006E3D35" w:rsidRDefault="006E3D35" w:rsidP="00C7474F">
            <w:pPr>
              <w:spacing w:before="100" w:beforeAutospacing="1" w:after="100" w:afterAutospacing="1" w:line="240" w:lineRule="auto"/>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tcPr>
          <w:p w14:paraId="1631A6C9" w14:textId="77777777" w:rsidR="006E3D35" w:rsidRPr="006E3D35" w:rsidRDefault="006E3D35" w:rsidP="00C7474F">
            <w:pPr>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tcPr>
          <w:p w14:paraId="09D81C61" w14:textId="77777777" w:rsidR="006E3D35" w:rsidRPr="006E3D35" w:rsidRDefault="006E3D35" w:rsidP="00C7474F">
            <w:pPr>
              <w:spacing w:before="100" w:beforeAutospacing="1" w:after="100" w:afterAutospacing="1" w:line="240" w:lineRule="auto"/>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tcPr>
          <w:p w14:paraId="42C560EC" w14:textId="77777777" w:rsidR="006E3D35" w:rsidRPr="006E3D35" w:rsidRDefault="006E3D35" w:rsidP="00C7474F">
            <w:pPr>
              <w:spacing w:before="100" w:beforeAutospacing="1" w:after="100" w:afterAutospacing="1" w:line="240" w:lineRule="auto"/>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tcPr>
          <w:p w14:paraId="2924139B" w14:textId="77777777" w:rsidR="006E3D35" w:rsidRPr="006E3D35" w:rsidRDefault="006E3D35" w:rsidP="00C7474F">
            <w:pPr>
              <w:spacing w:before="100" w:beforeAutospacing="1" w:after="100" w:afterAutospacing="1" w:line="240" w:lineRule="auto"/>
              <w:jc w:val="right"/>
              <w:rPr>
                <w:rFonts w:cs="Calibri"/>
                <w:b/>
              </w:rPr>
            </w:pPr>
          </w:p>
        </w:tc>
      </w:tr>
    </w:tbl>
    <w:p w14:paraId="69ABAA16" w14:textId="77777777" w:rsidR="006E3D35" w:rsidRPr="006E3D35" w:rsidRDefault="006E3D35" w:rsidP="006E3D35">
      <w:pPr>
        <w:spacing w:before="120" w:line="240" w:lineRule="auto"/>
        <w:jc w:val="left"/>
        <w:rPr>
          <w:b/>
          <w:szCs w:val="22"/>
        </w:rPr>
      </w:pPr>
      <w:r w:rsidRPr="006E3D35">
        <w:rPr>
          <w:b/>
          <w:szCs w:val="22"/>
        </w:rPr>
        <w:t>UWAGA!</w:t>
      </w:r>
    </w:p>
    <w:p w14:paraId="28525AF1" w14:textId="65EBCE27" w:rsidR="006E3D35" w:rsidRPr="006E3D35" w:rsidRDefault="006E3D35" w:rsidP="006E3D35">
      <w:pPr>
        <w:spacing w:after="120" w:line="240" w:lineRule="auto"/>
        <w:jc w:val="left"/>
        <w:rPr>
          <w:b/>
          <w:szCs w:val="22"/>
        </w:rPr>
      </w:pPr>
      <w:r w:rsidRPr="006E3D35">
        <w:rPr>
          <w:b/>
          <w:szCs w:val="22"/>
        </w:rPr>
        <w:t>Cena dokumentacji nie może przekraczać 20 % ceny ofertowej.</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5A7166" w:rsidRDefault="00DA508D" w:rsidP="00CF4476">
      <w:pPr>
        <w:numPr>
          <w:ilvl w:val="5"/>
          <w:numId w:val="50"/>
        </w:numPr>
        <w:spacing w:before="240" w:after="80" w:line="240" w:lineRule="exact"/>
        <w:ind w:left="0" w:hanging="284"/>
        <w:rPr>
          <w:rFonts w:cs="Calibri"/>
          <w:b/>
        </w:rPr>
      </w:pPr>
      <w:r w:rsidRPr="005A7166">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04C5FF35"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81796">
        <w:rPr>
          <w:rFonts w:asciiTheme="minorHAnsi" w:hAnsiTheme="minorHAnsi" w:cstheme="minorHAnsi"/>
        </w:rPr>
        <w:t xml:space="preserve">: </w:t>
      </w:r>
    </w:p>
    <w:p w14:paraId="5EB2EB9D" w14:textId="38449B9D" w:rsidR="00CF4476" w:rsidRPr="00842D63" w:rsidRDefault="004374FA"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4374FA"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lastRenderedPageBreak/>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374FA"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073E3AB" w14:textId="018B602D" w:rsidR="000162A5" w:rsidRPr="00CF4476" w:rsidRDefault="004374FA" w:rsidP="0083139B">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7ED8002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bookmarkStart w:id="5" w:name="_GoBack"/>
      <w:bookmarkEnd w:id="5"/>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50E7D" w14:textId="77777777" w:rsidR="002B1BA7" w:rsidRDefault="002B1BA7" w:rsidP="004A302B">
      <w:pPr>
        <w:spacing w:line="240" w:lineRule="auto"/>
      </w:pPr>
      <w:r>
        <w:separator/>
      </w:r>
    </w:p>
  </w:endnote>
  <w:endnote w:type="continuationSeparator" w:id="0">
    <w:p w14:paraId="58C2D19B" w14:textId="77777777" w:rsidR="002B1BA7" w:rsidRDefault="002B1B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E937004"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374F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374FA">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38972" w14:textId="77777777" w:rsidR="002B1BA7" w:rsidRDefault="002B1BA7" w:rsidP="004A302B">
      <w:pPr>
        <w:spacing w:line="240" w:lineRule="auto"/>
      </w:pPr>
      <w:r>
        <w:separator/>
      </w:r>
    </w:p>
  </w:footnote>
  <w:footnote w:type="continuationSeparator" w:id="0">
    <w:p w14:paraId="0CA32E51" w14:textId="77777777" w:rsidR="002B1BA7" w:rsidRDefault="002B1BA7"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471"/>
    <w:rsid w:val="00092A66"/>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0ECE"/>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374FA"/>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3118"/>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474D6"/>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956"/>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17469"/>
    <w:rsid w:val="00821056"/>
    <w:rsid w:val="00821E64"/>
    <w:rsid w:val="00822410"/>
    <w:rsid w:val="00822D63"/>
    <w:rsid w:val="00824CAE"/>
    <w:rsid w:val="00827409"/>
    <w:rsid w:val="00827FDC"/>
    <w:rsid w:val="0083049F"/>
    <w:rsid w:val="0083139B"/>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26CB"/>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6926"/>
    <w:rsid w:val="008D7F84"/>
    <w:rsid w:val="008E0DD8"/>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9DD"/>
    <w:rsid w:val="00D31A17"/>
    <w:rsid w:val="00D33389"/>
    <w:rsid w:val="00D34974"/>
    <w:rsid w:val="00D35265"/>
    <w:rsid w:val="00D374E7"/>
    <w:rsid w:val="00D41914"/>
    <w:rsid w:val="00D41D8F"/>
    <w:rsid w:val="00D42F0B"/>
    <w:rsid w:val="00D43DBE"/>
    <w:rsid w:val="00D46A1C"/>
    <w:rsid w:val="00D47743"/>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POST/DYS/OR/OZ/02753/2024                         </dmsv2SWPP2ObjectNumber>
    <dmsv2SWPP2SumMD5 xmlns="http://schemas.microsoft.com/sharepoint/v3">c0615699b98dface9ba28e25f5d2aaa5</dmsv2SWPP2SumMD5>
    <dmsv2BaseMoved xmlns="http://schemas.microsoft.com/sharepoint/v3">false</dmsv2BaseMoved>
    <dmsv2BaseIsSensitive xmlns="http://schemas.microsoft.com/sharepoint/v3">true</dmsv2BaseIsSensitive>
    <dmsv2SWPP2IDSWPP2 xmlns="http://schemas.microsoft.com/sharepoint/v3">656405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20585167</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ZKQJDXMXURTQ-100915816-7056</_dlc_DocId>
    <_dlc_DocIdUrl xmlns="a19cb1c7-c5c7-46d4-85ae-d83685407bba">
      <Url>https://swpp2.dms.gkpge.pl/sites/31/_layouts/15/DocIdRedir.aspx?ID=ZKQJDXMXURTQ-100915816-7056</Url>
      <Description>ZKQJDXMXURTQ-100915816-7056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32893-EAE5-459A-AFA7-68F84DCE6DDC}">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F73905B-4CEA-4162-9CD1-7FC50057EF59}"/>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F34D53B-75EC-4128-A84D-57D411B32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1236</Words>
  <Characters>7418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6</cp:revision>
  <cp:lastPrinted>2020-02-27T07:25:00Z</cp:lastPrinted>
  <dcterms:created xsi:type="dcterms:W3CDTF">2024-06-13T10:32:00Z</dcterms:created>
  <dcterms:modified xsi:type="dcterms:W3CDTF">2024-09-17T10:05:00Z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0x0101891000BBFA11DCCB0C3B42928BFB7B5F8D1075</vt:lpwstr>
  </property>
  <property fmtid="{D5CDD505-2E9C-101B-9397-08002B2CF9AE}" pid="3" name="_dlc_DocIdItemGuid">
    <vt:lpwstr>475d8e08-aabd-4589-af20-429209474588</vt:lpwstr>
  </property>
</Properties>
</file>