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3E1E7E">
        <w:rPr>
          <w:rFonts w:cs="Calibri"/>
          <w:caps/>
          <w:kern w:val="28"/>
        </w:rPr>
        <w:t>02238</w:t>
      </w:r>
      <w:r w:rsidRPr="00294826">
        <w:t>/</w:t>
      </w:r>
      <w:r w:rsidR="00D73369">
        <w:t>2025</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rsidTr="00EB5140">
        <w:trPr>
          <w:trHeight w:val="1820"/>
        </w:trPr>
        <w:tc>
          <w:tcPr>
            <w:tcW w:w="3656" w:type="dxa"/>
            <w:tcBorders>
              <w:top w:val="thinThickSmallGap" w:sz="12" w:space="0" w:color="0070C0"/>
              <w:bottom w:val="thinThickSmallGap" w:sz="12" w:space="0" w:color="0070C0"/>
            </w:tcBorders>
          </w:tcPr>
          <w:p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rsidR="00F73875" w:rsidRPr="00F93173" w:rsidRDefault="00F73875" w:rsidP="00EB5140">
            <w:pPr>
              <w:spacing w:line="360" w:lineRule="auto"/>
              <w:jc w:val="center"/>
              <w:rPr>
                <w:rFonts w:asciiTheme="minorHAnsi" w:eastAsiaTheme="majorEastAsia" w:hAnsiTheme="minorHAnsi" w:cstheme="majorBidi"/>
                <w:iCs/>
                <w:sz w:val="24"/>
                <w:szCs w:val="24"/>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F93173" w:rsidRDefault="00F73875" w:rsidP="00EB5140">
            <w:pPr>
              <w:spacing w:line="360" w:lineRule="auto"/>
              <w:jc w:val="center"/>
              <w:rPr>
                <w:rFonts w:asciiTheme="minorHAnsi" w:eastAsiaTheme="majorEastAsia" w:hAnsiTheme="minorHAnsi" w:cstheme="majorBidi"/>
                <w:iCs/>
                <w:sz w:val="18"/>
                <w:szCs w:val="18"/>
              </w:rPr>
            </w:pPr>
          </w:p>
          <w:p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rsidR="00F73875" w:rsidRPr="00FD4A2B" w:rsidRDefault="00F73875" w:rsidP="00EB5140">
            <w:pPr>
              <w:spacing w:line="360" w:lineRule="auto"/>
              <w:rPr>
                <w:rFonts w:asciiTheme="minorHAnsi" w:eastAsiaTheme="majorEastAsia" w:hAnsiTheme="minorHAnsi" w:cstheme="majorBidi"/>
                <w:b/>
                <w:i/>
                <w:iCs/>
                <w:sz w:val="10"/>
                <w:szCs w:val="16"/>
                <w:u w:val="single"/>
              </w:rPr>
            </w:pPr>
          </w:p>
          <w:p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 xml:space="preserve">W związku z Ofertą Wykonawcy złożoną w postępowaniu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Pr>
          <w:rFonts w:asciiTheme="minorHAnsi" w:eastAsia="Calibri" w:hAnsiTheme="minorHAnsi" w:cstheme="minorHAnsi"/>
          <w:szCs w:val="22"/>
          <w:lang w:eastAsia="pl-PL"/>
        </w:rPr>
        <w:t>„</w:t>
      </w:r>
      <w:r w:rsidR="003E1E7E" w:rsidRPr="003E1E7E">
        <w:rPr>
          <w:rFonts w:asciiTheme="minorHAnsi" w:eastAsia="Calibri" w:hAnsiTheme="minorHAnsi" w:cstheme="minorHAnsi"/>
          <w:b/>
          <w:bCs/>
          <w:i/>
          <w:szCs w:val="22"/>
          <w:lang w:eastAsia="pl-PL"/>
        </w:rPr>
        <w:t>Przebudowa linii napowietrznych nN i SN na terenie RE Sanok - 5 części</w:t>
      </w:r>
      <w:bookmarkStart w:id="0" w:name="_GoBack"/>
      <w:bookmarkEnd w:id="0"/>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64CB3" w:rsidRDefault="00E64CB3" w:rsidP="004A302B">
      <w:pPr>
        <w:spacing w:line="240" w:lineRule="auto"/>
      </w:pPr>
      <w:r>
        <w:separator/>
      </w:r>
    </w:p>
  </w:endnote>
  <w:endnote w:type="continuationSeparator" w:id="0">
    <w:p w:rsidR="00E64CB3" w:rsidRDefault="00E64CB3"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E1E7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E1E7E">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E1E7E">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E1E7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64CB3" w:rsidRDefault="00E64CB3" w:rsidP="004A302B">
      <w:pPr>
        <w:spacing w:line="240" w:lineRule="auto"/>
      </w:pPr>
      <w:r>
        <w:separator/>
      </w:r>
    </w:p>
  </w:footnote>
  <w:footnote w:type="continuationSeparator" w:id="0">
    <w:p w:rsidR="00E64CB3" w:rsidRDefault="00E64CB3"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0809A52A" wp14:editId="2525F67F">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56D"/>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1E7E"/>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09D"/>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35DC"/>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6E"/>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450"/>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09E5"/>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42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3369"/>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4CB3"/>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08FD"/>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E0A82AE"/>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POST/DYS/OR/OZ/02238/2025                         </dmsv2SWPP2ObjectNumber>
    <dmsv2SWPP2SumMD5 xmlns="http://schemas.microsoft.com/sharepoint/v3">961cd1053572cf579ef9993c6e952d78</dmsv2SWPP2SumMD5>
    <dmsv2BaseMoved xmlns="http://schemas.microsoft.com/sharepoint/v3">false</dmsv2BaseMoved>
    <dmsv2BaseIsSensitive xmlns="http://schemas.microsoft.com/sharepoint/v3">true</dmsv2BaseIsSensitive>
    <dmsv2SWPP2IDSWPP2 xmlns="http://schemas.microsoft.com/sharepoint/v3">683936</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22689456</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0000000100070003000000000001</dmsv2SWPP2ObjectDepartment>
    <dmsv2SWPP2ObjectName xmlns="http://schemas.microsoft.com/sharepoint/v3">Postępowanie</dmsv2SWPP2ObjectName>
    <_dlc_DocId xmlns="a19cb1c7-c5c7-46d4-85ae-d83685407bba">XD3KHSRJV2AP-92384522-19120</_dlc_DocId>
    <_dlc_DocIdUrl xmlns="a19cb1c7-c5c7-46d4-85ae-d83685407bba">
      <Url>https://swpp2.dms.gkpge.pl/sites/38/_layouts/15/DocIdRedir.aspx?ID=XD3KHSRJV2AP-92384522-19120</Url>
      <Description>XD3KHSRJV2AP-92384522-19120</Description>
    </_dlc_DocIdUrl>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1 6 " ? > < A r r a y O f D o c u m e n t L i n k   x m l n s : x s i = " h t t p : / / w w w . w 3 . o r g / 2 0 0 1 / X M L S c h e m a - i n s t a n c e "   x m l n s : x s d = " h t t p : / / w w w . w 3 . o r g / 2 0 0 1 / X M L S c h e m a " / > 
</file>

<file path=customXml/item4.xml><?xml version="1.0" encoding="utf-8"?>
<ct:contentTypeSchema xmlns:ct="http://schemas.microsoft.com/office/2006/metadata/contentType" xmlns:ma="http://schemas.microsoft.com/office/2006/metadata/properties/metaAttributes" ct:_="" ma:_="" ma:contentTypeName="DMS2_SWPP2_BaseDocument" ma:contentTypeID="0x010189100072774B0680DB8142B17E62E4832D1A2A" ma:contentTypeVersion="0" ma:contentTypeDescription="SWPP2 Dokument bazowy" ma:contentTypeScope="" ma:versionID="204e891012921b03767676508c7d379a">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2.xml><?xml version="1.0" encoding="utf-8"?>
<ds:datastoreItem xmlns:ds="http://schemas.openxmlformats.org/officeDocument/2006/customXml" ds:itemID="{951CD705-1A0B-494A-A89C-DEE6FC4110C2}">
  <ds:schemaRefs>
    <ds:schemaRef ds:uri="http://schemas.microsoft.com/sharepoint/events"/>
  </ds:schemaRefs>
</ds:datastoreItem>
</file>

<file path=customXml/itemProps3.xml><?xml version="1.0" encoding="utf-8"?>
<ds:datastoreItem xmlns:ds="http://schemas.openxmlformats.org/officeDocument/2006/customXml" ds:itemID="{1D8DB34D-3365-46E2-BD64-2FC2F74D6CF9}">
  <ds:schemaRefs>
    <ds:schemaRef ds:uri="http://www.w3.org/2001/XMLSchema"/>
  </ds:schemaRefs>
</ds:datastoreItem>
</file>

<file path=customXml/itemProps4.xml><?xml version="1.0" encoding="utf-8"?>
<ds:datastoreItem xmlns:ds="http://schemas.openxmlformats.org/officeDocument/2006/customXml" ds:itemID="{9C90FD89-3158-4C9D-9330-DB25C62BB189}"/>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66FB881B-452A-4A5E-BAF9-044EA9789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453</Words>
  <Characters>2721</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19</cp:revision>
  <cp:lastPrinted>2020-02-27T07:25:00Z</cp:lastPrinted>
  <dcterms:created xsi:type="dcterms:W3CDTF">2022-12-15T06:17:00Z</dcterms:created>
  <dcterms:modified xsi:type="dcterms:W3CDTF">2025-06-11T08:00:00Z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0x010189100072774B0680DB8142B17E62E4832D1A2A</vt:lpwstr>
  </property>
  <property fmtid="{D5CDD505-2E9C-101B-9397-08002B2CF9AE}" pid="3" name="_dlc_DocIdItemGuid">
    <vt:lpwstr>8d24f014-7fb1-4e81-a7fd-ab42691169da</vt:lpwstr>
  </property>
</Properties>
</file>