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6F993A24"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642E5D">
        <w:rPr>
          <w:rFonts w:cs="Calibri"/>
          <w:caps/>
          <w:color w:val="auto"/>
          <w:kern w:val="28"/>
        </w:rPr>
        <w:t>02238</w:t>
      </w:r>
      <w:r w:rsidRPr="00B172A9">
        <w:rPr>
          <w:rFonts w:ascii="Calibri" w:eastAsia="Times New Roman" w:hAnsi="Calibri" w:cs="Calibri"/>
          <w:bCs w:val="0"/>
          <w:color w:val="auto"/>
          <w:szCs w:val="20"/>
        </w:rPr>
        <w:t>/</w:t>
      </w:r>
      <w:r w:rsidR="0069585D">
        <w:rPr>
          <w:rFonts w:ascii="Calibri" w:eastAsia="Times New Roman" w:hAnsi="Calibri" w:cs="Calibri"/>
          <w:bCs w:val="0"/>
          <w:color w:val="auto"/>
          <w:szCs w:val="20"/>
        </w:rPr>
        <w:t>2025</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3F177701"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642E5D" w:rsidRPr="00642E5D">
        <w:rPr>
          <w:rFonts w:ascii="Calibri" w:hAnsi="Calibri" w:cs="Arial"/>
          <w:b/>
          <w:i/>
          <w:snapToGrid w:val="0"/>
          <w:color w:val="000000"/>
          <w:sz w:val="22"/>
          <w:szCs w:val="22"/>
        </w:rPr>
        <w:t>Przebudowa linii napowietrznych nN i SN na terenie RE Sanok - 5 części</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77777777" w:rsidR="00365D09" w:rsidRPr="00CF2D59" w:rsidRDefault="00365D09" w:rsidP="00BE42B6">
            <w:pPr>
              <w:spacing w:line="240" w:lineRule="auto"/>
              <w:jc w:val="center"/>
              <w:rPr>
                <w:rFonts w:eastAsia="Calibri"/>
                <w:b/>
                <w:sz w:val="16"/>
                <w:szCs w:val="18"/>
              </w:rPr>
            </w:pPr>
            <w:bookmarkStart w:id="5" w:name="_GoBack"/>
            <w:bookmarkEnd w:id="5"/>
            <w:r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947BFF" w14:textId="77777777" w:rsidR="00A96E92" w:rsidRDefault="00A96E92" w:rsidP="004A302B">
      <w:pPr>
        <w:spacing w:line="240" w:lineRule="auto"/>
      </w:pPr>
      <w:r>
        <w:separator/>
      </w:r>
    </w:p>
  </w:endnote>
  <w:endnote w:type="continuationSeparator" w:id="0">
    <w:p w14:paraId="750801A5" w14:textId="77777777" w:rsidR="00A96E92" w:rsidRDefault="00A96E9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4D2EAD" w14:textId="77777777" w:rsidR="00A96E92" w:rsidRDefault="00A96E92" w:rsidP="004A302B">
      <w:pPr>
        <w:spacing w:line="240" w:lineRule="auto"/>
      </w:pPr>
      <w:r>
        <w:separator/>
      </w:r>
    </w:p>
  </w:footnote>
  <w:footnote w:type="continuationSeparator" w:id="0">
    <w:p w14:paraId="29955B9D" w14:textId="77777777" w:rsidR="00A96E92" w:rsidRDefault="00A96E92"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5C7"/>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0183"/>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6D"/>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2E5D"/>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585D"/>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E77"/>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1B9F"/>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96E92"/>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2C50"/>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4541"/>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050C"/>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POST/DYS/OR/OZ/02238/2025                         </dmsv2SWPP2ObjectNumber>
    <dmsv2SWPP2SumMD5 xmlns="http://schemas.microsoft.com/sharepoint/v3">8c215ab1ec6d398b41243c51d16b0339</dmsv2SWPP2SumMD5>
    <dmsv2BaseMoved xmlns="http://schemas.microsoft.com/sharepoint/v3">false</dmsv2BaseMoved>
    <dmsv2BaseIsSensitive xmlns="http://schemas.microsoft.com/sharepoint/v3">true</dmsv2BaseIsSensitive>
    <dmsv2SWPP2IDSWPP2 xmlns="http://schemas.microsoft.com/sharepoint/v3">683936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22689454</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XD3KHSRJV2AP-92384522-19131</_dlc_DocId>
    <_dlc_DocIdUrl xmlns="a19cb1c7-c5c7-46d4-85ae-d83685407bba">
      <Url>https://swpp2.dms.gkpge.pl/sites/38/_layouts/15/DocIdRedir.aspx?ID=XD3KHSRJV2AP-92384522-19131</Url>
      <Description>XD3KHSRJV2AP-92384522-19131</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B4BF1C89-F1A6-45DC-BCBA-0E1C4905C099}">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F2F38E06-998E-4A4C-AFB3-12517E59794F}"/>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D4C3444-2E9B-4325-AAA9-7EE88A820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222</Words>
  <Characters>1332</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14</cp:revision>
  <cp:lastPrinted>2020-02-27T07:25:00Z</cp:lastPrinted>
  <dcterms:created xsi:type="dcterms:W3CDTF">2022-12-16T11:52:00Z</dcterms:created>
  <dcterms:modified xsi:type="dcterms:W3CDTF">2025-06-11T07:59:00Z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3e6bb58e-3006-45e2-b4c3-355c1519ea78</vt:lpwstr>
  </property>
</Properties>
</file>