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56CC9" w14:textId="77777777" w:rsidR="009E0FC6" w:rsidRDefault="009E0FC6" w:rsidP="009E0FC6">
      <w:pPr>
        <w:rPr>
          <w:rFonts w:eastAsiaTheme="majorEastAsia"/>
        </w:rPr>
      </w:pPr>
      <w:bookmarkStart w:id="0" w:name="_Toc23926982"/>
      <w:bookmarkStart w:id="1" w:name="_Toc516738910"/>
    </w:p>
    <w:p w14:paraId="08CF7D80" w14:textId="5D536708" w:rsidR="00042F8C" w:rsidRPr="00A27B4D" w:rsidRDefault="00042F8C" w:rsidP="009E0FC6">
      <w:pPr>
        <w:keepNext/>
        <w:shd w:val="clear" w:color="auto" w:fill="C6D9F1" w:themeFill="text2" w:themeFillTint="33"/>
        <w:tabs>
          <w:tab w:val="right" w:pos="8931"/>
        </w:tabs>
        <w:spacing w:before="600" w:line="240" w:lineRule="auto"/>
        <w:jc w:val="left"/>
        <w:outlineLvl w:val="0"/>
        <w:rPr>
          <w:rFonts w:asciiTheme="minorHAnsi" w:eastAsiaTheme="majorEastAsia" w:hAnsiTheme="minorHAnsi" w:cstheme="majorBidi"/>
          <w:b/>
          <w:bCs/>
          <w:szCs w:val="22"/>
        </w:rPr>
      </w:pPr>
      <w:r w:rsidRPr="00A27B4D">
        <w:rPr>
          <w:rFonts w:asciiTheme="minorHAnsi" w:eastAsiaTheme="majorEastAsia" w:hAnsiTheme="minorHAnsi" w:cstheme="majorBidi"/>
          <w:b/>
          <w:bCs/>
          <w:noProof/>
          <w:color w:val="365F91" w:themeColor="accent1" w:themeShade="BF"/>
          <w:szCs w:val="22"/>
          <w:lang w:eastAsia="pl-PL"/>
        </w:rPr>
        <w:drawing>
          <wp:anchor distT="0" distB="0" distL="114300" distR="114300" simplePos="0" relativeHeight="251692032" behindDoc="0" locked="1" layoutInCell="1" allowOverlap="1" wp14:anchorId="1B0E3EB1" wp14:editId="0C87BFB4">
            <wp:simplePos x="0" y="0"/>
            <wp:positionH relativeFrom="page">
              <wp:posOffset>540385</wp:posOffset>
            </wp:positionH>
            <wp:positionV relativeFrom="page">
              <wp:posOffset>540385</wp:posOffset>
            </wp:positionV>
            <wp:extent cx="752400" cy="532800"/>
            <wp:effectExtent l="0" t="0" r="0" b="635"/>
            <wp:wrapNone/>
            <wp:docPr id="1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7B4D">
        <w:rPr>
          <w:rFonts w:asciiTheme="minorHAnsi" w:eastAsiaTheme="majorEastAsia" w:hAnsiTheme="minorHAnsi" w:cstheme="majorBidi"/>
          <w:b/>
          <w:bCs/>
          <w:szCs w:val="22"/>
        </w:rPr>
        <w:t xml:space="preserve">ZAŁĄCZNIK NR </w:t>
      </w:r>
      <w:r w:rsidR="00002616">
        <w:rPr>
          <w:rFonts w:asciiTheme="minorHAnsi" w:eastAsiaTheme="majorEastAsia" w:hAnsiTheme="minorHAnsi" w:cstheme="majorBidi"/>
          <w:b/>
          <w:bCs/>
          <w:szCs w:val="22"/>
        </w:rPr>
        <w:t>1</w:t>
      </w:r>
      <w:r w:rsidR="004E1FAA">
        <w:rPr>
          <w:rFonts w:asciiTheme="minorHAnsi" w:eastAsiaTheme="majorEastAsia" w:hAnsiTheme="minorHAnsi" w:cstheme="majorBidi"/>
          <w:b/>
          <w:bCs/>
          <w:szCs w:val="22"/>
        </w:rPr>
        <w:t>2</w:t>
      </w:r>
      <w:r w:rsidRPr="00A27B4D">
        <w:rPr>
          <w:rFonts w:asciiTheme="minorHAnsi" w:eastAsiaTheme="majorEastAsia" w:hAnsiTheme="minorHAnsi" w:cstheme="majorBidi"/>
          <w:b/>
          <w:bCs/>
          <w:szCs w:val="22"/>
        </w:rPr>
        <w:t xml:space="preserve"> DO SWZ</w:t>
      </w:r>
      <w:r w:rsidRPr="00A27B4D">
        <w:rPr>
          <w:rFonts w:asciiTheme="minorHAnsi" w:eastAsiaTheme="majorEastAsia" w:hAnsiTheme="minorHAnsi" w:cstheme="majorBidi"/>
          <w:b/>
          <w:bCs/>
          <w:szCs w:val="22"/>
        </w:rPr>
        <w:tab/>
        <w:t>POST/DYS/OR/OZ/</w:t>
      </w:r>
      <w:r w:rsidR="00FD5E5F">
        <w:rPr>
          <w:rFonts w:cs="Calibri"/>
          <w:b/>
          <w:caps/>
          <w:kern w:val="28"/>
        </w:rPr>
        <w:t>01</w:t>
      </w:r>
      <w:r w:rsidR="008D144C">
        <w:rPr>
          <w:rFonts w:cs="Calibri"/>
          <w:b/>
          <w:caps/>
          <w:kern w:val="28"/>
        </w:rPr>
        <w:t>275</w:t>
      </w:r>
      <w:r w:rsidRPr="00A27B4D">
        <w:rPr>
          <w:rFonts w:asciiTheme="minorHAnsi" w:eastAsiaTheme="majorEastAsia" w:hAnsiTheme="minorHAnsi" w:cstheme="majorBidi"/>
          <w:b/>
          <w:bCs/>
          <w:szCs w:val="22"/>
        </w:rPr>
        <w:t>/202</w:t>
      </w:r>
      <w:r w:rsidR="00FD5E5F">
        <w:rPr>
          <w:rFonts w:asciiTheme="minorHAnsi" w:eastAsiaTheme="majorEastAsia" w:hAnsiTheme="minorHAnsi" w:cstheme="majorBidi"/>
          <w:b/>
          <w:bCs/>
          <w:szCs w:val="22"/>
        </w:rPr>
        <w:t>5</w:t>
      </w:r>
    </w:p>
    <w:p w14:paraId="63E98664" w14:textId="7069FAD7" w:rsidR="002940E3" w:rsidRPr="00593048" w:rsidRDefault="00DF6EDD" w:rsidP="00593048">
      <w:pPr>
        <w:pStyle w:val="Nagwek1"/>
        <w:spacing w:before="360" w:after="360"/>
        <w:jc w:val="center"/>
        <w:rPr>
          <w:color w:val="auto"/>
          <w:sz w:val="26"/>
        </w:rPr>
      </w:pPr>
      <w:r w:rsidRPr="009E0FC6">
        <w:rPr>
          <w:noProof/>
          <w:color w:val="auto"/>
          <w:sz w:val="26"/>
          <w:lang w:eastAsia="pl-PL"/>
        </w:rPr>
        <mc:AlternateContent>
          <mc:Choice Requires="wpg">
            <w:drawing>
              <wp:anchor distT="0" distB="0" distL="114300" distR="114300" simplePos="0" relativeHeight="251679744" behindDoc="0" locked="1" layoutInCell="1" allowOverlap="1" wp14:anchorId="7E0276E2" wp14:editId="0A72DFB1">
                <wp:simplePos x="0" y="0"/>
                <wp:positionH relativeFrom="column">
                  <wp:posOffset>0</wp:posOffset>
                </wp:positionH>
                <wp:positionV relativeFrom="page">
                  <wp:posOffset>1620520</wp:posOffset>
                </wp:positionV>
                <wp:extent cx="5688000" cy="1224000"/>
                <wp:effectExtent l="76200" t="76200" r="103505" b="90805"/>
                <wp:wrapSquare wrapText="bothSides"/>
                <wp:docPr id="15" name="Grupa 15"/>
                <wp:cNvGraphicFramePr/>
                <a:graphic xmlns:a="http://schemas.openxmlformats.org/drawingml/2006/main">
                  <a:graphicData uri="http://schemas.microsoft.com/office/word/2010/wordprocessingGroup">
                    <wpg:wgp>
                      <wpg:cNvGrpSpPr/>
                      <wpg:grpSpPr>
                        <a:xfrm>
                          <a:off x="0" y="0"/>
                          <a:ext cx="5688000" cy="1224000"/>
                          <a:chOff x="0" y="0"/>
                          <a:chExt cx="5532028" cy="1224000"/>
                        </a:xfrm>
                      </wpg:grpSpPr>
                      <wps:wsp>
                        <wps:cNvPr id="13" name="Pole tekstowe 2"/>
                        <wps:cNvSpPr txBox="1">
                          <a:spLocks noChangeArrowheads="1"/>
                        </wps:cNvSpPr>
                        <wps:spPr bwMode="auto">
                          <a:xfrm>
                            <a:off x="0" y="0"/>
                            <a:ext cx="2257200" cy="122400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45C51222" w14:textId="77777777" w:rsidR="00AF4448" w:rsidRPr="00F93173" w:rsidRDefault="00AF4448" w:rsidP="00EE18F9">
                              <w:pPr>
                                <w:spacing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455748D" w14:textId="77777777" w:rsidR="00AF4448" w:rsidRPr="00F93173" w:rsidRDefault="00AF4448" w:rsidP="00EE18F9">
                              <w:pPr>
                                <w:spacing w:line="360" w:lineRule="auto"/>
                                <w:jc w:val="center"/>
                                <w:rPr>
                                  <w:rFonts w:asciiTheme="minorHAnsi" w:eastAsiaTheme="majorEastAsia" w:hAnsiTheme="minorHAnsi" w:cstheme="majorBidi"/>
                                  <w:iCs/>
                                  <w:sz w:val="24"/>
                                  <w:szCs w:val="24"/>
                                </w:rPr>
                              </w:pPr>
                            </w:p>
                            <w:p w14:paraId="4D6502AA"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37240B80"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7CD9FBDF" w14:textId="7F11B329" w:rsidR="00AF4448" w:rsidRPr="00F93173" w:rsidRDefault="00AF4448" w:rsidP="00EE18F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p w14:paraId="61815F1A" w14:textId="3EEA8A2D"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wps:wsp>
                        <wps:cNvPr id="2" name="Pole tekstowe 2"/>
                        <wps:cNvSpPr txBox="1">
                          <a:spLocks noChangeArrowheads="1"/>
                        </wps:cNvSpPr>
                        <wps:spPr bwMode="auto">
                          <a:xfrm>
                            <a:off x="3274828" y="0"/>
                            <a:ext cx="2257200" cy="122400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62263693" w14:textId="77777777" w:rsidR="00AF4448" w:rsidRDefault="00AF4448" w:rsidP="00FD4A2B">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F087FFD" w14:textId="77777777" w:rsidR="00AF4448" w:rsidRPr="00FD4A2B" w:rsidRDefault="00AF4448" w:rsidP="00FD4A2B">
                              <w:pPr>
                                <w:spacing w:line="360" w:lineRule="auto"/>
                                <w:rPr>
                                  <w:rFonts w:asciiTheme="minorHAnsi" w:eastAsiaTheme="majorEastAsia" w:hAnsiTheme="minorHAnsi" w:cstheme="majorBidi"/>
                                  <w:b/>
                                  <w:i/>
                                  <w:iCs/>
                                  <w:sz w:val="10"/>
                                  <w:szCs w:val="16"/>
                                  <w:u w:val="single"/>
                                </w:rPr>
                              </w:pPr>
                            </w:p>
                            <w:p w14:paraId="3422FDE7" w14:textId="77777777" w:rsidR="00AF4448" w:rsidRPr="00FD4A2B" w:rsidRDefault="00AF4448" w:rsidP="00FD4A2B">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D735D76" w14:textId="297BC4D5" w:rsidR="00AF4448" w:rsidRPr="00086D98" w:rsidRDefault="00AF4448" w:rsidP="00FD4A2B">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D549D8" w14:textId="77777777" w:rsidR="00AF4448" w:rsidRPr="00086D98" w:rsidRDefault="00AF4448" w:rsidP="00FD4A2B">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p w14:paraId="16426F57" w14:textId="77777777"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0276E2" id="Grupa 15" o:spid="_x0000_s1029" style="position:absolute;left:0;text-align:left;margin-left:0;margin-top:127.6pt;width:447.85pt;height:96.4pt;z-index:251679744;mso-position-vertical-relative:page;mso-width-relative:margin;mso-height-relative:margin" coordsize="55320,1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">
                <v:shape id="Pole tekstowe 2" o:spid="_x0000_s1030" type="#_x0000_t202" style="position:absolute;width:22572;height:1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" fillcolor="window" strokecolor="#4f81bd" strokeweight="2pt">
                  <v:textbox inset="10.8pt,7.2pt,10.8pt,7.2pt">
                    <w:txbxContent>
                      <w:p w14:paraId="45C51222" w14:textId="77777777" w:rsidR="00AF4448" w:rsidRPr="00F93173" w:rsidRDefault="00AF4448" w:rsidP="00EE18F9">
                        <w:pPr>
                          <w:spacing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455748D" w14:textId="77777777" w:rsidR="00AF4448" w:rsidRPr="00F93173" w:rsidRDefault="00AF4448" w:rsidP="00EE18F9">
                        <w:pPr>
                          <w:spacing w:line="360" w:lineRule="auto"/>
                          <w:jc w:val="center"/>
                          <w:rPr>
                            <w:rFonts w:asciiTheme="minorHAnsi" w:eastAsiaTheme="majorEastAsia" w:hAnsiTheme="minorHAnsi" w:cstheme="majorBidi"/>
                            <w:iCs/>
                            <w:sz w:val="24"/>
                            <w:szCs w:val="24"/>
                          </w:rPr>
                        </w:pPr>
                      </w:p>
                      <w:p w14:paraId="4D6502AA"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37240B80"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7CD9FBDF" w14:textId="7F11B329" w:rsidR="00AF4448" w:rsidRPr="00F93173" w:rsidRDefault="00AF4448" w:rsidP="00EE18F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p w14:paraId="61815F1A" w14:textId="3EEA8A2D"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v:textbox>
                </v:shape>
                <v:shape id="Pole tekstowe 2" o:spid="_x0000_s1031" type="#_x0000_t202" style="position:absolute;left:32748;width:22572;height:1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" fillcolor="window" strokecolor="#4f81bd" strokeweight="2pt">
                  <v:textbox inset="10.8pt,7.2pt,10.8pt,7.2pt">
                    <w:txbxContent>
                      <w:p w14:paraId="62263693" w14:textId="77777777" w:rsidR="00AF4448" w:rsidRDefault="00AF4448" w:rsidP="00FD4A2B">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F087FFD" w14:textId="77777777" w:rsidR="00AF4448" w:rsidRPr="00FD4A2B" w:rsidRDefault="00AF4448" w:rsidP="00FD4A2B">
                        <w:pPr>
                          <w:spacing w:line="360" w:lineRule="auto"/>
                          <w:rPr>
                            <w:rFonts w:asciiTheme="minorHAnsi" w:eastAsiaTheme="majorEastAsia" w:hAnsiTheme="minorHAnsi" w:cstheme="majorBidi"/>
                            <w:b/>
                            <w:i/>
                            <w:iCs/>
                            <w:sz w:val="10"/>
                            <w:szCs w:val="16"/>
                            <w:u w:val="single"/>
                          </w:rPr>
                        </w:pPr>
                      </w:p>
                      <w:p w14:paraId="3422FDE7" w14:textId="77777777" w:rsidR="00AF4448" w:rsidRPr="00FD4A2B" w:rsidRDefault="00AF4448" w:rsidP="00FD4A2B">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D735D76" w14:textId="297BC4D5" w:rsidR="00AF4448" w:rsidRPr="00086D98" w:rsidRDefault="00AF4448" w:rsidP="00FD4A2B">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D549D8" w14:textId="77777777" w:rsidR="00AF4448" w:rsidRPr="00086D98" w:rsidRDefault="00AF4448" w:rsidP="00FD4A2B">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p w14:paraId="16426F57" w14:textId="77777777"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v:textbox>
                </v:shape>
                <w10:wrap type="square" anchory="page"/>
                <w10:anchorlock/>
              </v:group>
            </w:pict>
          </mc:Fallback>
        </mc:AlternateContent>
      </w:r>
      <w:bookmarkEnd w:id="0"/>
      <w:r w:rsidR="009E0FC6"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1E5AFEFD"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8D144C" w:rsidRPr="008D144C">
        <w:rPr>
          <w:rFonts w:cs="Arial"/>
          <w:b/>
          <w:i/>
          <w:snapToGrid w:val="0"/>
          <w:color w:val="000000"/>
          <w:szCs w:val="22"/>
        </w:rPr>
        <w:t>Budowa przyłączy kablowych na terenie Rejonu Energetycznego Rzeszów - Rzeszów (ul. Św. Jakuba, ul. Gościnna, ul. Zygmuntowska, ul. Myśliwska) - 4 części</w:t>
      </w:r>
      <w:r>
        <w:rPr>
          <w:rFonts w:asciiTheme="minorHAnsi" w:eastAsia="Calibri" w:hAnsiTheme="minorHAnsi" w:cstheme="minorHAnsi"/>
          <w:i/>
          <w:szCs w:val="22"/>
          <w:lang w:eastAsia="pl-PL"/>
        </w:rPr>
        <w:t>”</w:t>
      </w:r>
      <w:r w:rsidR="008D144C">
        <w:rPr>
          <w:rFonts w:asciiTheme="minorHAnsi" w:eastAsia="Calibri" w:hAnsiTheme="minorHAnsi" w:cstheme="minorHAnsi"/>
          <w:i/>
          <w:szCs w:val="22"/>
          <w:lang w:eastAsia="pl-PL"/>
        </w:rPr>
        <w:t>.</w:t>
      </w:r>
      <w:bookmarkStart w:id="2" w:name="_GoBack"/>
      <w:bookmarkEnd w:id="2"/>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25AAC1A5" w14:textId="175CD113" w:rsidR="00FE76FD" w:rsidRDefault="00FE76FD" w:rsidP="009E0FC6">
      <w:pPr>
        <w:autoSpaceDE w:val="0"/>
        <w:autoSpaceDN w:val="0"/>
        <w:adjustRightInd w:val="0"/>
        <w:spacing w:before="120" w:after="120" w:line="240" w:lineRule="auto"/>
        <w:rPr>
          <w:rFonts w:asciiTheme="minorHAnsi" w:eastAsia="Calibri" w:hAnsiTheme="minorHAnsi" w:cstheme="minorHAnsi"/>
          <w:szCs w:val="22"/>
        </w:rPr>
      </w:pPr>
    </w:p>
    <w:p w14:paraId="5ECD884A" w14:textId="77777777" w:rsidR="00FE76FD" w:rsidRDefault="00FE76FD" w:rsidP="009E0FC6">
      <w:pPr>
        <w:autoSpaceDE w:val="0"/>
        <w:autoSpaceDN w:val="0"/>
        <w:adjustRightInd w:val="0"/>
        <w:spacing w:before="120" w:after="120" w:line="240" w:lineRule="auto"/>
        <w:rPr>
          <w:rFonts w:asciiTheme="minorHAnsi" w:eastAsia="Calibri" w:hAnsiTheme="minorHAnsi" w:cstheme="minorHAnsi"/>
          <w:szCs w:val="22"/>
        </w:rPr>
      </w:pP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1"/>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A27B4D">
      <w:headerReference w:type="default" r:id="rId14"/>
      <w:footerReference w:type="default" r:id="rId15"/>
      <w:headerReference w:type="first" r:id="rId16"/>
      <w:pgSz w:w="11906" w:h="16838" w:code="9"/>
      <w:pgMar w:top="851" w:right="1418" w:bottom="851" w:left="153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1D41E" w14:textId="77777777" w:rsidR="00AB7551" w:rsidRDefault="00AB7551" w:rsidP="004A302B">
      <w:pPr>
        <w:spacing w:line="240" w:lineRule="auto"/>
      </w:pPr>
      <w:r>
        <w:separator/>
      </w:r>
    </w:p>
  </w:endnote>
  <w:endnote w:type="continuationSeparator" w:id="0">
    <w:p w14:paraId="4B8E9988" w14:textId="77777777" w:rsidR="00AB7551" w:rsidRDefault="00AB755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0F4C21FB"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D144C">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D144C">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D6C8F" w14:textId="77777777" w:rsidR="00AB7551" w:rsidRDefault="00AB7551" w:rsidP="004A302B">
      <w:pPr>
        <w:spacing w:line="240" w:lineRule="auto"/>
      </w:pPr>
      <w:r>
        <w:separator/>
      </w:r>
    </w:p>
  </w:footnote>
  <w:footnote w:type="continuationSeparator" w:id="0">
    <w:p w14:paraId="0FFBB77B" w14:textId="77777777" w:rsidR="00AB7551" w:rsidRDefault="00AB755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4774235E" w:rsidR="00AF4448" w:rsidRPr="000F58B6" w:rsidRDefault="00AF4448" w:rsidP="00A27B4D">
    <w:pPr>
      <w:pStyle w:val="Nagwek"/>
      <w:tabs>
        <w:tab w:val="clear" w:pos="4536"/>
        <w:tab w:val="clear" w:pos="9072"/>
        <w:tab w:val="left" w:pos="5265"/>
      </w:tabs>
      <w:spacing w:after="120" w:line="276" w:lineRule="auto"/>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abstractNumId w:val="11"/>
  </w:num>
  <w:num w:numId="2">
    <w:abstractNumId w:val="7"/>
  </w:num>
  <w:num w:numId="3">
    <w:abstractNumId w:val="17"/>
  </w:num>
  <w:num w:numId="4">
    <w:abstractNumId w:val="5"/>
  </w:num>
  <w:num w:numId="5">
    <w:abstractNumId w:val="8"/>
  </w:num>
  <w:num w:numId="6">
    <w:abstractNumId w:val="12"/>
  </w:num>
  <w:num w:numId="7">
    <w:abstractNumId w:val="13"/>
  </w:num>
  <w:num w:numId="8">
    <w:abstractNumId w:val="14"/>
  </w:num>
  <w:num w:numId="9">
    <w:abstractNumId w:val="6"/>
  </w:num>
  <w:num w:numId="10">
    <w:abstractNumId w:val="15"/>
  </w:num>
  <w:num w:numId="11">
    <w:abstractNumId w:val="4"/>
  </w:num>
  <w:num w:numId="12">
    <w:abstractNumId w:val="16"/>
  </w:num>
  <w:num w:numId="13">
    <w:abstractNumId w:val="10"/>
  </w:num>
  <w:num w:numId="14">
    <w:abstractNumId w:val="3"/>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18A9"/>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4C7E"/>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2C7B"/>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44C"/>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B7551"/>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912"/>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5E5F"/>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POST/DYS/OR/OZ/01275/2025                         </dmsv2SWPP2ObjectNumber>
    <dmsv2SWPP2SumMD5 xmlns="http://schemas.microsoft.com/sharepoint/v3">6401442a54fd748c56e44b813a65ccdc</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22133261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MUFVPD5EPY3P-699274413-17566</_dlc_DocId>
    <_dlc_DocIdUrl xmlns="a19cb1c7-c5c7-46d4-85ae-d83685407bba">
      <Url>https://swpp2.dms.gkpge.pl/sites/36/_layouts/15/DocIdRedir.aspx?ID=MUFVPD5EPY3P-699274413-17566</Url>
      <Description>MUFVPD5EPY3P-699274413-17566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904C310-088F-43D6-8512-86DCEF9580E4}">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B239996-132B-4C93-9079-72AA024481D0}"/>
</file>

<file path=customXml/itemProps6.xml><?xml version="1.0" encoding="utf-8"?>
<ds:datastoreItem xmlns:ds="http://schemas.openxmlformats.org/officeDocument/2006/customXml" ds:itemID="{90DDD1AC-3C64-418F-81BE-31DD53C0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264</Words>
  <Characters>1588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25</cp:revision>
  <cp:lastPrinted>2020-02-27T07:25:00Z</cp:lastPrinted>
  <dcterms:created xsi:type="dcterms:W3CDTF">2022-06-08T06:59:00Z</dcterms:created>
  <dcterms:modified xsi:type="dcterms:W3CDTF">2025-04-07T11:01:00Z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d9713e5e-e2d4-4fe5-ba6a-d16e06d0e9d3</vt:lpwstr>
  </property>
</Properties>
</file>