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9B06C1B"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bookmarkStart w:id="5" w:name="_GoBack"/>
      <w:bookmarkEnd w:id="5"/>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8009FE">
        <w:rPr>
          <w:rFonts w:cs="Calibri"/>
          <w:b/>
          <w:caps/>
          <w:kern w:val="28"/>
        </w:rPr>
        <w:t>01128</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65ECD63"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8009FE" w:rsidRPr="008009FE">
        <w:rPr>
          <w:rFonts w:ascii="Calibri" w:hAnsi="Calibri" w:cs="Arial"/>
          <w:b/>
          <w:i/>
          <w:snapToGrid w:val="0"/>
          <w:color w:val="000000"/>
          <w:sz w:val="22"/>
          <w:szCs w:val="22"/>
        </w:rPr>
        <w:t>Przebudowa linii napowietrznej SN 15kV Smoczka – Rzemień od GPZ Smoczka do strefy B1 LSN</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3EF582A1" w:rsidR="009E5DB8" w:rsidRDefault="00B24C4F" w:rsidP="00A8557F">
      <w:pPr>
        <w:pStyle w:val="NRI"/>
      </w:pPr>
      <w:r w:rsidRPr="008009FE">
        <w:rPr>
          <w:lang w:eastAsia="pl-PL"/>
        </w:rPr>
        <w:t>OSOB</w:t>
      </w:r>
      <w:r w:rsidR="008009FE" w:rsidRPr="008009FE">
        <w:rPr>
          <w:lang w:eastAsia="pl-PL"/>
        </w:rPr>
        <w:t>Y</w:t>
      </w:r>
      <w:r w:rsidRPr="008009FE">
        <w:rPr>
          <w:lang w:eastAsia="pl-PL"/>
        </w:rPr>
        <w:t xml:space="preserve"> UPRAWNION</w:t>
      </w:r>
      <w:r w:rsidR="008009FE" w:rsidRPr="008009FE">
        <w:rPr>
          <w:lang w:eastAsia="pl-PL"/>
        </w:rPr>
        <w:t>E</w:t>
      </w:r>
      <w:r w:rsidR="009E5DB8" w:rsidRPr="008009FE">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8009FE">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8009FE">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8009FE">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8009FE">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4C294039" w:rsidR="008E751A" w:rsidRPr="004A6701" w:rsidRDefault="008E751A" w:rsidP="008009FE">
            <w:pPr>
              <w:spacing w:before="40" w:after="40"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8009FE">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8009FE">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8009FE">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8009FE">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77777777" w:rsidR="00742C11" w:rsidRPr="00742C11" w:rsidRDefault="00742C11" w:rsidP="00A8557F">
      <w:pPr>
        <w:pStyle w:val="Nr"/>
      </w:pPr>
      <w:r w:rsidRPr="00742C11">
        <w:t>Część nr ……</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55B5EF74"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449213D3" w14:textId="77777777" w:rsidR="008009FE" w:rsidRDefault="008009FE" w:rsidP="008009FE">
      <w:pPr>
        <w:keepNext/>
        <w:tabs>
          <w:tab w:val="right" w:leader="dot" w:pos="3402"/>
          <w:tab w:val="left" w:pos="3544"/>
          <w:tab w:val="right" w:leader="dot" w:pos="9497"/>
        </w:tabs>
        <w:spacing w:line="360" w:lineRule="auto"/>
        <w:ind w:left="992" w:hanging="425"/>
        <w:contextualSpacing/>
        <w:rPr>
          <w:rFonts w:cs="Calibri"/>
          <w:b/>
        </w:rPr>
      </w:pPr>
      <w:r>
        <w:rPr>
          <w:rFonts w:cs="Calibri"/>
          <w:b/>
        </w:rPr>
        <w:lastRenderedPageBreak/>
        <w:t xml:space="preserve">W tym: </w:t>
      </w:r>
    </w:p>
    <w:tbl>
      <w:tblPr>
        <w:tblW w:w="0" w:type="auto"/>
        <w:tblInd w:w="567" w:type="dxa"/>
        <w:tblCellMar>
          <w:left w:w="70" w:type="dxa"/>
          <w:right w:w="70" w:type="dxa"/>
        </w:tblCellMar>
        <w:tblLook w:val="04A0" w:firstRow="1" w:lastRow="0" w:firstColumn="1" w:lastColumn="0" w:noHBand="0" w:noVBand="1"/>
      </w:tblPr>
      <w:tblGrid>
        <w:gridCol w:w="4892"/>
        <w:gridCol w:w="514"/>
        <w:gridCol w:w="1615"/>
        <w:gridCol w:w="1616"/>
      </w:tblGrid>
      <w:tr w:rsidR="008009FE" w:rsidRPr="0092476E" w14:paraId="63844FD1" w14:textId="77777777" w:rsidTr="008009FE">
        <w:trPr>
          <w:trHeight w:val="592"/>
        </w:trPr>
        <w:tc>
          <w:tcPr>
            <w:tcW w:w="0" w:type="auto"/>
            <w:tcBorders>
              <w:top w:val="single" w:sz="8" w:space="0" w:color="auto"/>
              <w:left w:val="single" w:sz="8" w:space="0" w:color="auto"/>
              <w:bottom w:val="single" w:sz="8" w:space="0" w:color="auto"/>
              <w:right w:val="single" w:sz="4" w:space="0" w:color="auto"/>
            </w:tcBorders>
            <w:shd w:val="clear" w:color="auto" w:fill="B8CCE4" w:themeFill="accent1" w:themeFillTint="66"/>
            <w:vAlign w:val="center"/>
            <w:hideMark/>
          </w:tcPr>
          <w:p w14:paraId="780B111A" w14:textId="37D844F7" w:rsidR="008009FE" w:rsidRPr="0092476E" w:rsidRDefault="008009FE" w:rsidP="00815F8E">
            <w:pPr>
              <w:spacing w:line="240" w:lineRule="auto"/>
              <w:jc w:val="center"/>
              <w:rPr>
                <w:rFonts w:asciiTheme="minorHAnsi" w:hAnsiTheme="minorHAnsi" w:cs="Calibri"/>
                <w:b/>
                <w:sz w:val="20"/>
                <w:szCs w:val="22"/>
                <w:lang w:eastAsia="pl-PL"/>
              </w:rPr>
            </w:pPr>
          </w:p>
        </w:tc>
        <w:tc>
          <w:tcPr>
            <w:tcW w:w="0" w:type="auto"/>
            <w:tcBorders>
              <w:top w:val="single" w:sz="8" w:space="0" w:color="auto"/>
              <w:left w:val="nil"/>
              <w:bottom w:val="single" w:sz="8" w:space="0" w:color="auto"/>
              <w:right w:val="single" w:sz="4" w:space="0" w:color="auto"/>
            </w:tcBorders>
            <w:shd w:val="clear" w:color="auto" w:fill="B8CCE4" w:themeFill="accent1" w:themeFillTint="66"/>
            <w:vAlign w:val="center"/>
          </w:tcPr>
          <w:p w14:paraId="5B9BF9EC" w14:textId="77777777" w:rsidR="008009FE" w:rsidRPr="0092476E" w:rsidRDefault="008009FE" w:rsidP="00815F8E">
            <w:pPr>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Ilość</w:t>
            </w:r>
          </w:p>
        </w:tc>
        <w:tc>
          <w:tcPr>
            <w:tcW w:w="1615" w:type="dxa"/>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14:paraId="09CFA6BC" w14:textId="002E89EE" w:rsidR="008009FE" w:rsidRPr="0092476E" w:rsidRDefault="008009FE" w:rsidP="00815F8E">
            <w:pPr>
              <w:spacing w:line="240" w:lineRule="auto"/>
              <w:jc w:val="center"/>
              <w:rPr>
                <w:rFonts w:asciiTheme="minorHAnsi" w:hAnsiTheme="minorHAnsi" w:cs="Calibri"/>
                <w:b/>
                <w:i/>
                <w:sz w:val="20"/>
                <w:szCs w:val="22"/>
                <w:lang w:eastAsia="pl-PL"/>
              </w:rPr>
            </w:pPr>
            <w:r w:rsidRPr="0092476E">
              <w:rPr>
                <w:rFonts w:asciiTheme="minorHAnsi" w:hAnsiTheme="minorHAnsi" w:cs="Calibri"/>
                <w:b/>
                <w:sz w:val="20"/>
                <w:szCs w:val="22"/>
                <w:lang w:eastAsia="pl-PL"/>
              </w:rPr>
              <w:t xml:space="preserve">Cena jednostkowa </w:t>
            </w:r>
            <w:r>
              <w:rPr>
                <w:rFonts w:asciiTheme="minorHAnsi" w:hAnsiTheme="minorHAnsi" w:cs="Calibri"/>
                <w:b/>
                <w:sz w:val="20"/>
                <w:szCs w:val="22"/>
                <w:lang w:eastAsia="pl-PL"/>
              </w:rPr>
              <w:br/>
            </w:r>
            <w:r w:rsidRPr="0092476E">
              <w:rPr>
                <w:rFonts w:asciiTheme="minorHAnsi" w:hAnsiTheme="minorHAnsi" w:cs="Calibri"/>
                <w:b/>
                <w:sz w:val="20"/>
                <w:szCs w:val="22"/>
                <w:lang w:eastAsia="pl-PL"/>
              </w:rPr>
              <w:t>netto</w:t>
            </w:r>
            <w:r w:rsidRPr="0092476E">
              <w:rPr>
                <w:rFonts w:asciiTheme="minorHAnsi" w:hAnsiTheme="minorHAnsi" w:cs="Calibri"/>
                <w:b/>
                <w:i/>
                <w:sz w:val="20"/>
                <w:szCs w:val="22"/>
                <w:lang w:eastAsia="pl-PL"/>
              </w:rPr>
              <w:t xml:space="preserve"> (zł)</w:t>
            </w:r>
          </w:p>
        </w:tc>
        <w:tc>
          <w:tcPr>
            <w:tcW w:w="1616" w:type="dxa"/>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14:paraId="7E3C1F28" w14:textId="05E6E1CE" w:rsidR="008009FE" w:rsidRPr="0092476E" w:rsidRDefault="008009FE" w:rsidP="008009FE">
            <w:pPr>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Wartość</w:t>
            </w:r>
            <w:r>
              <w:rPr>
                <w:rFonts w:asciiTheme="minorHAnsi" w:hAnsiTheme="minorHAnsi" w:cs="Calibri"/>
                <w:b/>
                <w:sz w:val="20"/>
                <w:szCs w:val="22"/>
                <w:lang w:eastAsia="pl-PL"/>
              </w:rPr>
              <w:br/>
            </w:r>
            <w:r w:rsidRPr="0092476E">
              <w:rPr>
                <w:rFonts w:asciiTheme="minorHAnsi" w:hAnsiTheme="minorHAnsi" w:cs="Calibri"/>
                <w:b/>
                <w:sz w:val="20"/>
                <w:szCs w:val="22"/>
                <w:lang w:eastAsia="pl-PL"/>
              </w:rPr>
              <w:t xml:space="preserve">netto </w:t>
            </w:r>
            <w:r>
              <w:rPr>
                <w:rFonts w:asciiTheme="minorHAnsi" w:hAnsiTheme="minorHAnsi" w:cs="Calibri"/>
                <w:b/>
                <w:sz w:val="20"/>
                <w:szCs w:val="22"/>
                <w:lang w:eastAsia="pl-PL"/>
              </w:rPr>
              <w:br/>
            </w:r>
            <w:r w:rsidRPr="0092476E">
              <w:rPr>
                <w:rFonts w:asciiTheme="minorHAnsi" w:hAnsiTheme="minorHAnsi" w:cs="Calibri"/>
                <w:b/>
                <w:sz w:val="20"/>
                <w:szCs w:val="22"/>
                <w:lang w:eastAsia="pl-PL"/>
              </w:rPr>
              <w:t>(zł)</w:t>
            </w:r>
          </w:p>
        </w:tc>
      </w:tr>
      <w:tr w:rsidR="008009FE" w:rsidRPr="0092476E" w14:paraId="7FBF4877" w14:textId="77777777" w:rsidTr="008009FE">
        <w:trPr>
          <w:trHeight w:val="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B75938C" w14:textId="19BCAB60" w:rsidR="008009FE" w:rsidRPr="0092476E" w:rsidRDefault="008009FE" w:rsidP="008009FE">
            <w:pPr>
              <w:spacing w:before="40" w:after="40" w:line="240" w:lineRule="auto"/>
              <w:jc w:val="left"/>
              <w:rPr>
                <w:rFonts w:asciiTheme="minorHAnsi" w:hAnsiTheme="minorHAnsi" w:cs="Calibri"/>
                <w:szCs w:val="22"/>
              </w:rPr>
            </w:pPr>
            <w:r>
              <w:rPr>
                <w:rFonts w:cs="Calibri"/>
              </w:rPr>
              <w:t xml:space="preserve">Kabel energetyczny </w:t>
            </w:r>
            <w:r w:rsidRPr="00A979F8">
              <w:rPr>
                <w:rFonts w:cs="Calibri"/>
              </w:rPr>
              <w:t>XRUHAKXs 240/50 mm² 12/20kV</w:t>
            </w:r>
          </w:p>
        </w:tc>
        <w:tc>
          <w:tcPr>
            <w:tcW w:w="0" w:type="auto"/>
            <w:tcBorders>
              <w:top w:val="single" w:sz="4" w:space="0" w:color="auto"/>
              <w:left w:val="nil"/>
              <w:bottom w:val="single" w:sz="4" w:space="0" w:color="auto"/>
              <w:right w:val="single" w:sz="4" w:space="0" w:color="auto"/>
            </w:tcBorders>
            <w:vAlign w:val="center"/>
          </w:tcPr>
          <w:p w14:paraId="68AA5386" w14:textId="77777777" w:rsidR="008009FE" w:rsidRPr="0092476E" w:rsidRDefault="008009FE" w:rsidP="008009FE">
            <w:pPr>
              <w:spacing w:before="40" w:after="40" w:line="240" w:lineRule="auto"/>
              <w:jc w:val="center"/>
              <w:rPr>
                <w:rFonts w:asciiTheme="minorHAnsi" w:hAnsiTheme="minorHAnsi" w:cs="Calibri"/>
                <w:szCs w:val="22"/>
                <w:lang w:eastAsia="pl-PL"/>
              </w:rPr>
            </w:pPr>
          </w:p>
        </w:tc>
        <w:tc>
          <w:tcPr>
            <w:tcW w:w="1615" w:type="dxa"/>
            <w:tcBorders>
              <w:top w:val="single" w:sz="4" w:space="0" w:color="auto"/>
              <w:left w:val="single" w:sz="4" w:space="0" w:color="auto"/>
              <w:bottom w:val="single" w:sz="4" w:space="0" w:color="auto"/>
              <w:right w:val="single" w:sz="4" w:space="0" w:color="auto"/>
            </w:tcBorders>
            <w:tcMar>
              <w:left w:w="142" w:type="dxa"/>
              <w:right w:w="142" w:type="dxa"/>
            </w:tcMar>
            <w:vAlign w:val="center"/>
          </w:tcPr>
          <w:p w14:paraId="69532AA5" w14:textId="77777777" w:rsidR="008009FE" w:rsidRPr="0092476E" w:rsidRDefault="008009FE" w:rsidP="008009FE">
            <w:pPr>
              <w:spacing w:before="40" w:after="40" w:line="240" w:lineRule="auto"/>
              <w:jc w:val="right"/>
              <w:rPr>
                <w:rFonts w:asciiTheme="minorHAnsi" w:hAnsiTheme="minorHAnsi" w:cs="Calibri"/>
                <w:szCs w:val="22"/>
                <w:lang w:eastAsia="pl-PL"/>
              </w:rPr>
            </w:pPr>
          </w:p>
        </w:tc>
        <w:tc>
          <w:tcPr>
            <w:tcW w:w="1616" w:type="dxa"/>
            <w:tcBorders>
              <w:top w:val="single" w:sz="4" w:space="0" w:color="auto"/>
              <w:left w:val="single" w:sz="4" w:space="0" w:color="auto"/>
              <w:bottom w:val="single" w:sz="4" w:space="0" w:color="auto"/>
              <w:right w:val="single" w:sz="4" w:space="0" w:color="auto"/>
            </w:tcBorders>
            <w:tcMar>
              <w:left w:w="142" w:type="dxa"/>
              <w:right w:w="142" w:type="dxa"/>
            </w:tcMar>
          </w:tcPr>
          <w:p w14:paraId="3697FC85" w14:textId="77777777" w:rsidR="008009FE" w:rsidRPr="0092476E" w:rsidRDefault="008009FE" w:rsidP="008009FE">
            <w:pPr>
              <w:spacing w:before="40" w:after="40" w:line="240" w:lineRule="auto"/>
              <w:jc w:val="right"/>
              <w:rPr>
                <w:rFonts w:asciiTheme="minorHAnsi" w:hAnsiTheme="minorHAnsi" w:cs="Calibri"/>
                <w:szCs w:val="22"/>
                <w:lang w:eastAsia="pl-PL"/>
              </w:rPr>
            </w:pPr>
          </w:p>
        </w:tc>
      </w:tr>
      <w:tr w:rsidR="008009FE" w:rsidRPr="0092476E" w14:paraId="66C21909" w14:textId="77777777" w:rsidTr="008009FE">
        <w:trPr>
          <w:trHeight w:val="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84BE860" w14:textId="13678D17" w:rsidR="008009FE" w:rsidRPr="0092476E" w:rsidRDefault="008009FE" w:rsidP="008009FE">
            <w:pPr>
              <w:spacing w:before="40" w:after="40" w:line="240" w:lineRule="auto"/>
              <w:jc w:val="left"/>
              <w:rPr>
                <w:rFonts w:asciiTheme="minorHAnsi" w:hAnsiTheme="minorHAnsi" w:cs="Calibri"/>
                <w:szCs w:val="22"/>
              </w:rPr>
            </w:pPr>
            <w:r w:rsidRPr="00A979F8">
              <w:rPr>
                <w:rFonts w:cs="Calibri"/>
              </w:rPr>
              <w:t xml:space="preserve">Kabel energetyczny </w:t>
            </w:r>
            <w:r>
              <w:rPr>
                <w:rFonts w:cs="Calibri"/>
              </w:rPr>
              <w:t>XRUHAKXs 120/50 mm2 12/20kV</w:t>
            </w:r>
          </w:p>
        </w:tc>
        <w:tc>
          <w:tcPr>
            <w:tcW w:w="0" w:type="auto"/>
            <w:tcBorders>
              <w:top w:val="single" w:sz="4" w:space="0" w:color="auto"/>
              <w:left w:val="nil"/>
              <w:bottom w:val="single" w:sz="4" w:space="0" w:color="auto"/>
              <w:right w:val="single" w:sz="4" w:space="0" w:color="auto"/>
            </w:tcBorders>
            <w:vAlign w:val="center"/>
          </w:tcPr>
          <w:p w14:paraId="431EA17D" w14:textId="77777777" w:rsidR="008009FE" w:rsidRPr="0092476E" w:rsidRDefault="008009FE" w:rsidP="008009FE">
            <w:pPr>
              <w:spacing w:before="40" w:after="40" w:line="240" w:lineRule="auto"/>
              <w:jc w:val="center"/>
              <w:rPr>
                <w:rFonts w:asciiTheme="minorHAnsi" w:hAnsiTheme="minorHAnsi" w:cs="Calibri"/>
                <w:szCs w:val="22"/>
                <w:lang w:eastAsia="pl-PL"/>
              </w:rPr>
            </w:pPr>
          </w:p>
        </w:tc>
        <w:tc>
          <w:tcPr>
            <w:tcW w:w="1615" w:type="dxa"/>
            <w:tcBorders>
              <w:top w:val="single" w:sz="4" w:space="0" w:color="auto"/>
              <w:left w:val="single" w:sz="4" w:space="0" w:color="auto"/>
              <w:bottom w:val="single" w:sz="4" w:space="0" w:color="auto"/>
              <w:right w:val="single" w:sz="4" w:space="0" w:color="auto"/>
            </w:tcBorders>
            <w:tcMar>
              <w:left w:w="142" w:type="dxa"/>
              <w:right w:w="142" w:type="dxa"/>
            </w:tcMar>
            <w:vAlign w:val="center"/>
          </w:tcPr>
          <w:p w14:paraId="0926007F" w14:textId="77777777" w:rsidR="008009FE" w:rsidRPr="0092476E" w:rsidRDefault="008009FE" w:rsidP="008009FE">
            <w:pPr>
              <w:spacing w:before="40" w:after="40" w:line="240" w:lineRule="auto"/>
              <w:jc w:val="right"/>
              <w:rPr>
                <w:rFonts w:asciiTheme="minorHAnsi" w:hAnsiTheme="minorHAnsi" w:cs="Calibri"/>
                <w:szCs w:val="22"/>
                <w:lang w:eastAsia="pl-PL"/>
              </w:rPr>
            </w:pPr>
          </w:p>
        </w:tc>
        <w:tc>
          <w:tcPr>
            <w:tcW w:w="1616" w:type="dxa"/>
            <w:tcBorders>
              <w:top w:val="single" w:sz="4" w:space="0" w:color="auto"/>
              <w:left w:val="single" w:sz="4" w:space="0" w:color="auto"/>
              <w:bottom w:val="single" w:sz="4" w:space="0" w:color="auto"/>
              <w:right w:val="single" w:sz="4" w:space="0" w:color="auto"/>
            </w:tcBorders>
            <w:tcMar>
              <w:left w:w="142" w:type="dxa"/>
              <w:right w:w="142" w:type="dxa"/>
            </w:tcMar>
          </w:tcPr>
          <w:p w14:paraId="11EDB193" w14:textId="77777777" w:rsidR="008009FE" w:rsidRPr="0092476E" w:rsidRDefault="008009FE" w:rsidP="008009FE">
            <w:pPr>
              <w:spacing w:before="40" w:after="40" w:line="240" w:lineRule="auto"/>
              <w:jc w:val="right"/>
              <w:rPr>
                <w:rFonts w:asciiTheme="minorHAnsi" w:hAnsiTheme="minorHAnsi" w:cs="Calibri"/>
                <w:szCs w:val="22"/>
                <w:lang w:eastAsia="pl-PL"/>
              </w:rPr>
            </w:pPr>
          </w:p>
        </w:tc>
      </w:tr>
      <w:tr w:rsidR="008009FE" w:rsidRPr="0092476E" w14:paraId="3C2E55E2" w14:textId="77777777" w:rsidTr="008009FE">
        <w:trPr>
          <w:trHeight w:val="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4756CB" w14:textId="1C84D865" w:rsidR="008009FE" w:rsidRPr="0092476E" w:rsidRDefault="008009FE" w:rsidP="008009FE">
            <w:pPr>
              <w:spacing w:before="40" w:after="40" w:line="240" w:lineRule="auto"/>
              <w:jc w:val="left"/>
              <w:rPr>
                <w:rFonts w:asciiTheme="minorHAnsi" w:hAnsiTheme="minorHAnsi" w:cs="Calibri"/>
                <w:szCs w:val="22"/>
              </w:rPr>
            </w:pPr>
            <w:r>
              <w:rPr>
                <w:rFonts w:cs="Calibri"/>
              </w:rPr>
              <w:t>Koszty roboczogodziny</w:t>
            </w:r>
          </w:p>
        </w:tc>
        <w:tc>
          <w:tcPr>
            <w:tcW w:w="0" w:type="auto"/>
            <w:tcBorders>
              <w:top w:val="single" w:sz="4" w:space="0" w:color="auto"/>
              <w:left w:val="nil"/>
              <w:bottom w:val="single" w:sz="4" w:space="0" w:color="auto"/>
              <w:right w:val="single" w:sz="4" w:space="0" w:color="auto"/>
            </w:tcBorders>
            <w:vAlign w:val="center"/>
          </w:tcPr>
          <w:p w14:paraId="2ED9927F" w14:textId="77777777" w:rsidR="008009FE" w:rsidRPr="0092476E" w:rsidRDefault="008009FE" w:rsidP="008009FE">
            <w:pPr>
              <w:spacing w:before="40" w:after="40" w:line="240" w:lineRule="auto"/>
              <w:jc w:val="center"/>
              <w:rPr>
                <w:rFonts w:asciiTheme="minorHAnsi" w:hAnsiTheme="minorHAnsi" w:cs="Calibri"/>
                <w:szCs w:val="22"/>
                <w:lang w:eastAsia="pl-PL"/>
              </w:rPr>
            </w:pPr>
          </w:p>
        </w:tc>
        <w:tc>
          <w:tcPr>
            <w:tcW w:w="1615" w:type="dxa"/>
            <w:tcBorders>
              <w:top w:val="single" w:sz="4" w:space="0" w:color="auto"/>
              <w:left w:val="single" w:sz="4" w:space="0" w:color="auto"/>
              <w:bottom w:val="single" w:sz="4" w:space="0" w:color="auto"/>
              <w:right w:val="single" w:sz="4" w:space="0" w:color="auto"/>
            </w:tcBorders>
            <w:tcMar>
              <w:left w:w="142" w:type="dxa"/>
              <w:right w:w="142" w:type="dxa"/>
            </w:tcMar>
            <w:vAlign w:val="center"/>
          </w:tcPr>
          <w:p w14:paraId="6BD5E96D" w14:textId="77777777" w:rsidR="008009FE" w:rsidRPr="0092476E" w:rsidRDefault="008009FE" w:rsidP="008009FE">
            <w:pPr>
              <w:spacing w:before="40" w:after="40" w:line="240" w:lineRule="auto"/>
              <w:jc w:val="right"/>
              <w:rPr>
                <w:rFonts w:asciiTheme="minorHAnsi" w:hAnsiTheme="minorHAnsi" w:cs="Calibri"/>
                <w:szCs w:val="22"/>
                <w:lang w:eastAsia="pl-PL"/>
              </w:rPr>
            </w:pPr>
          </w:p>
        </w:tc>
        <w:tc>
          <w:tcPr>
            <w:tcW w:w="1616" w:type="dxa"/>
            <w:tcBorders>
              <w:top w:val="single" w:sz="4" w:space="0" w:color="auto"/>
              <w:left w:val="single" w:sz="4" w:space="0" w:color="auto"/>
              <w:bottom w:val="single" w:sz="4" w:space="0" w:color="auto"/>
              <w:right w:val="single" w:sz="4" w:space="0" w:color="auto"/>
            </w:tcBorders>
            <w:tcMar>
              <w:left w:w="142" w:type="dxa"/>
              <w:right w:w="142" w:type="dxa"/>
            </w:tcMar>
          </w:tcPr>
          <w:p w14:paraId="0868EBE5" w14:textId="77777777" w:rsidR="008009FE" w:rsidRPr="0092476E" w:rsidRDefault="008009FE" w:rsidP="008009FE">
            <w:pPr>
              <w:spacing w:before="40" w:after="40" w:line="240" w:lineRule="auto"/>
              <w:jc w:val="right"/>
              <w:rPr>
                <w:rFonts w:asciiTheme="minorHAnsi" w:hAnsiTheme="minorHAnsi" w:cs="Calibri"/>
                <w:szCs w:val="22"/>
                <w:lang w:eastAsia="pl-PL"/>
              </w:rPr>
            </w:pPr>
          </w:p>
        </w:tc>
      </w:tr>
      <w:tr w:rsidR="008009FE" w:rsidRPr="0092476E" w14:paraId="74B11FFD" w14:textId="77777777" w:rsidTr="008009FE">
        <w:trPr>
          <w:trHeight w:val="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B265C9A" w14:textId="4DC1FCC4" w:rsidR="008009FE" w:rsidRDefault="008009FE" w:rsidP="008009FE">
            <w:pPr>
              <w:spacing w:before="40" w:after="40" w:line="240" w:lineRule="auto"/>
              <w:jc w:val="left"/>
              <w:rPr>
                <w:rFonts w:cs="Calibri"/>
              </w:rPr>
            </w:pPr>
            <w:r>
              <w:rPr>
                <w:rFonts w:cs="Calibri"/>
              </w:rPr>
              <w:t>Koszty sprzętu</w:t>
            </w:r>
          </w:p>
        </w:tc>
        <w:tc>
          <w:tcPr>
            <w:tcW w:w="0" w:type="auto"/>
            <w:tcBorders>
              <w:top w:val="single" w:sz="4" w:space="0" w:color="auto"/>
              <w:left w:val="nil"/>
              <w:bottom w:val="single" w:sz="4" w:space="0" w:color="auto"/>
              <w:right w:val="single" w:sz="4" w:space="0" w:color="auto"/>
            </w:tcBorders>
            <w:vAlign w:val="center"/>
          </w:tcPr>
          <w:p w14:paraId="59BB28C8" w14:textId="65509828" w:rsidR="008009FE" w:rsidRPr="0092476E" w:rsidRDefault="008009FE" w:rsidP="008009FE">
            <w:pPr>
              <w:spacing w:before="40" w:after="40" w:line="240" w:lineRule="auto"/>
              <w:jc w:val="center"/>
              <w:rPr>
                <w:rFonts w:asciiTheme="minorHAnsi" w:hAnsiTheme="minorHAnsi" w:cs="Calibri"/>
                <w:szCs w:val="22"/>
                <w:lang w:eastAsia="pl-PL"/>
              </w:rPr>
            </w:pPr>
            <w:r>
              <w:rPr>
                <w:rFonts w:asciiTheme="minorHAnsi" w:hAnsiTheme="minorHAnsi" w:cs="Calibri"/>
                <w:szCs w:val="22"/>
                <w:lang w:eastAsia="pl-PL"/>
              </w:rPr>
              <w:t>-</w:t>
            </w:r>
          </w:p>
        </w:tc>
        <w:tc>
          <w:tcPr>
            <w:tcW w:w="1615" w:type="dxa"/>
            <w:tcBorders>
              <w:top w:val="single" w:sz="4" w:space="0" w:color="auto"/>
              <w:left w:val="single" w:sz="4" w:space="0" w:color="auto"/>
              <w:bottom w:val="single" w:sz="4" w:space="0" w:color="auto"/>
              <w:right w:val="single" w:sz="4" w:space="0" w:color="auto"/>
            </w:tcBorders>
            <w:tcMar>
              <w:left w:w="142" w:type="dxa"/>
              <w:right w:w="142" w:type="dxa"/>
            </w:tcMar>
            <w:vAlign w:val="center"/>
          </w:tcPr>
          <w:p w14:paraId="7C185A44" w14:textId="2B8BB3F6" w:rsidR="008009FE" w:rsidRPr="0092476E" w:rsidRDefault="008009FE" w:rsidP="008009FE">
            <w:pPr>
              <w:spacing w:before="40" w:after="40" w:line="240" w:lineRule="auto"/>
              <w:jc w:val="center"/>
              <w:rPr>
                <w:rFonts w:asciiTheme="minorHAnsi" w:hAnsiTheme="minorHAnsi" w:cs="Calibri"/>
                <w:szCs w:val="22"/>
                <w:lang w:eastAsia="pl-PL"/>
              </w:rPr>
            </w:pPr>
            <w:r>
              <w:rPr>
                <w:rFonts w:asciiTheme="minorHAnsi" w:hAnsiTheme="minorHAnsi" w:cs="Calibri"/>
                <w:szCs w:val="22"/>
                <w:lang w:eastAsia="pl-PL"/>
              </w:rPr>
              <w:t>-</w:t>
            </w:r>
          </w:p>
        </w:tc>
        <w:tc>
          <w:tcPr>
            <w:tcW w:w="1616" w:type="dxa"/>
            <w:tcBorders>
              <w:top w:val="single" w:sz="4" w:space="0" w:color="auto"/>
              <w:left w:val="single" w:sz="4" w:space="0" w:color="auto"/>
              <w:bottom w:val="single" w:sz="4" w:space="0" w:color="auto"/>
              <w:right w:val="single" w:sz="4" w:space="0" w:color="auto"/>
            </w:tcBorders>
            <w:tcMar>
              <w:left w:w="142" w:type="dxa"/>
              <w:right w:w="142" w:type="dxa"/>
            </w:tcMar>
          </w:tcPr>
          <w:p w14:paraId="4D4BEC32" w14:textId="77777777" w:rsidR="008009FE" w:rsidRPr="0092476E" w:rsidRDefault="008009FE" w:rsidP="008009FE">
            <w:pPr>
              <w:spacing w:before="40" w:after="40" w:line="240" w:lineRule="auto"/>
              <w:jc w:val="right"/>
              <w:rPr>
                <w:rFonts w:asciiTheme="minorHAnsi" w:hAnsiTheme="minorHAnsi" w:cs="Calibri"/>
                <w:szCs w:val="22"/>
                <w:lang w:eastAsia="pl-PL"/>
              </w:rPr>
            </w:pPr>
          </w:p>
        </w:tc>
      </w:tr>
    </w:tbl>
    <w:p w14:paraId="062993DC" w14:textId="78A3F788" w:rsidR="008009FE" w:rsidRPr="008009FE" w:rsidRDefault="008009FE" w:rsidP="008009FE">
      <w:pPr>
        <w:pStyle w:val="Nr"/>
        <w:keepNext/>
        <w:numPr>
          <w:ilvl w:val="0"/>
          <w:numId w:val="0"/>
        </w:numPr>
        <w:spacing w:before="120" w:line="240" w:lineRule="auto"/>
        <w:ind w:left="568"/>
        <w:rPr>
          <w:b w:val="0"/>
          <w:snapToGrid w:val="0"/>
          <w:lang w:eastAsia="pl-PL"/>
        </w:rPr>
      </w:pPr>
      <w:r w:rsidRPr="008009FE">
        <w:rPr>
          <w:b w:val="0"/>
        </w:rPr>
        <w:t>powyższe składniki należy przedstawić wraz  z kosztami pośrednimi (</w:t>
      </w:r>
      <w:proofErr w:type="spellStart"/>
      <w:r w:rsidRPr="008009FE">
        <w:rPr>
          <w:b w:val="0"/>
        </w:rPr>
        <w:t>Kp</w:t>
      </w:r>
      <w:proofErr w:type="spellEnd"/>
      <w:r w:rsidRPr="008009FE">
        <w:rPr>
          <w:b w:val="0"/>
        </w:rPr>
        <w:t>) i kosztami zakupu (Kz).</w:t>
      </w:r>
    </w:p>
    <w:p w14:paraId="63B4C12B" w14:textId="15B2C483" w:rsidR="00CF4476" w:rsidRPr="00CF4476" w:rsidRDefault="00CF4476" w:rsidP="008009FE">
      <w:pPr>
        <w:pStyle w:val="Nr"/>
        <w:keepNext/>
        <w:spacing w:before="120"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77777777"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r w:rsidRPr="00381796">
        <w:rPr>
          <w:rFonts w:asciiTheme="minorHAnsi" w:hAnsiTheme="minorHAnsi" w:cstheme="minorHAnsi"/>
          <w:color w:val="FF0000"/>
        </w:rPr>
        <w:t>jeśli dotyczy, w przypadku dopuszczenia podwykonawstwa</w:t>
      </w:r>
    </w:p>
    <w:p w14:paraId="5EB2EB9D" w14:textId="58885262" w:rsidR="00CF4476" w:rsidRPr="00842D63" w:rsidRDefault="0099163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99163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lastRenderedPageBreak/>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991630" w:rsidP="00A8557F">
      <w:pPr>
        <w:spacing w:before="120" w:after="120" w:line="240" w:lineRule="exact"/>
        <w:ind w:left="1701"/>
        <w:contextualSpacing/>
        <w:rPr>
          <w:rFonts w:cs="Calibri"/>
          <w:szCs w:val="22"/>
          <w:lang w:eastAsia="pl-PL"/>
        </w:rPr>
      </w:pPr>
      <w:hyperlink r:id="rId12"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99163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35B8CD28"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Wadium o wartości ………………….. zł zostało wniesione w formie ….............</w:t>
      </w:r>
      <w:r w:rsidR="008009FE">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4"/>
      <w:headerReference w:type="first" r:id="rId15"/>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8F89E" w14:textId="77777777" w:rsidR="00991630" w:rsidRDefault="00991630" w:rsidP="004A302B">
      <w:pPr>
        <w:spacing w:line="240" w:lineRule="auto"/>
      </w:pPr>
      <w:r>
        <w:separator/>
      </w:r>
    </w:p>
  </w:endnote>
  <w:endnote w:type="continuationSeparator" w:id="0">
    <w:p w14:paraId="31D88001" w14:textId="77777777" w:rsidR="00991630" w:rsidRDefault="009916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9CF19B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174F0">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174F0">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7EF31" w14:textId="77777777" w:rsidR="00991630" w:rsidRDefault="00991630" w:rsidP="004A302B">
      <w:pPr>
        <w:spacing w:line="240" w:lineRule="auto"/>
      </w:pPr>
      <w:r>
        <w:separator/>
      </w:r>
    </w:p>
  </w:footnote>
  <w:footnote w:type="continuationSeparator" w:id="0">
    <w:p w14:paraId="3627DE9D" w14:textId="77777777" w:rsidR="00991630" w:rsidRDefault="00991630"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99163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09FE"/>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630"/>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174F0"/>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POST/DYS/OR/OZ/01128/2025                         </dmsv2SWPP2ObjectNumber>
    <dmsv2SWPP2SumMD5 xmlns="http://schemas.microsoft.com/sharepoint/v3">b08d39b7692cc37cbf4af32f19cc3417</dmsv2SWPP2SumMD5>
    <dmsv2BaseMoved xmlns="http://schemas.microsoft.com/sharepoint/v3">false</dmsv2BaseMoved>
    <dmsv2BaseIsSensitive xmlns="http://schemas.microsoft.com/sharepoint/v3">true</dmsv2BaseIsSensitive>
    <dmsv2SWPP2IDSWPP2 xmlns="http://schemas.microsoft.com/sharepoint/v3">675214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22022006</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MUFVPD5EPY3P-1754216884-1220</_dlc_DocId>
    <_dlc_DocIdUrl xmlns="a19cb1c7-c5c7-46d4-85ae-d83685407bba">
      <Url>https://swpp2.dms.gkpge.pl/sites/36/_layouts/15/DocIdRedir.aspx?ID=MUFVPD5EPY3P-1754216884-1220</Url>
      <Description>MUFVPD5EPY3P-1754216884-1220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2CC4D7FB-1402-4B39-9D8F-990214FC1D84}"/>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99F62965-ACF6-46A6-8A11-3F2ADD260C94}">
  <ds:schemaRefs>
    <ds:schemaRef ds:uri="http://schemas.openxmlformats.org/officeDocument/2006/bibliography"/>
  </ds:schemaRefs>
</ds:datastoreItem>
</file>

<file path=customXml/itemProps6.xml><?xml version="1.0" encoding="utf-8"?>
<ds:datastoreItem xmlns:ds="http://schemas.openxmlformats.org/officeDocument/2006/customXml" ds:itemID="{AF715A84-35E1-4A2F-994A-4CA6B40DA297}"/>
</file>

<file path=docProps/app.xml><?xml version="1.0" encoding="utf-8"?>
<Properties xmlns="http://schemas.openxmlformats.org/officeDocument/2006/extended-properties" xmlns:vt="http://schemas.openxmlformats.org/officeDocument/2006/docPropsVTypes">
  <Template>Normal</Template>
  <TotalTime>25</TotalTime>
  <Pages>4</Pages>
  <Words>1239</Words>
  <Characters>7438</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6</cp:revision>
  <cp:lastPrinted>2020-02-27T07:25:00Z</cp:lastPrinted>
  <dcterms:created xsi:type="dcterms:W3CDTF">2025-03-18T07:04:00Z</dcterms:created>
  <dcterms:modified xsi:type="dcterms:W3CDTF">2025-03-28T07:09:00Z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f4de7ece-ff7e-4044-b318-4c889913d265</vt:lpwstr>
  </property>
</Properties>
</file>