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060A091A"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w:t>
      </w:r>
      <w:r w:rsidR="0099713D">
        <w:t xml:space="preserve">                 </w:t>
      </w:r>
      <w:r w:rsidRPr="00AE0670">
        <w:t>PGE DYSTRYBUCJA S.A.</w:t>
      </w:r>
    </w:p>
    <w:p w14:paraId="10695257" w14:textId="77777777" w:rsidR="001B2459" w:rsidRDefault="001B2459" w:rsidP="005A7EEA">
      <w:pPr>
        <w:pStyle w:val="PODTYTU"/>
        <w:spacing w:before="400"/>
        <w:jc w:val="center"/>
      </w:pPr>
    </w:p>
    <w:p w14:paraId="77F06F9D" w14:textId="40E16B75" w:rsidR="009E4E7A" w:rsidRPr="009E4E7A" w:rsidRDefault="005A7EEA" w:rsidP="001B2459">
      <w:pPr>
        <w:pStyle w:val="PODTYTU"/>
        <w:spacing w:before="0" w:line="276" w:lineRule="auto"/>
        <w:jc w:val="center"/>
        <w:rPr>
          <w:b/>
        </w:rPr>
      </w:pPr>
      <w:r w:rsidRPr="009E4E7A">
        <w:t xml:space="preserve"> </w:t>
      </w:r>
      <w:r w:rsidR="00222BD7" w:rsidRPr="00594A25">
        <w:rPr>
          <w:rFonts w:cstheme="minorHAnsi"/>
          <w:b/>
        </w:rPr>
        <w:t xml:space="preserve">Wykonanie dokumentacji projektowej w branży elektroenergetycznej na terenie działania OŁD w RE </w:t>
      </w:r>
      <w:r w:rsidR="00222BD7">
        <w:rPr>
          <w:rFonts w:cstheme="minorHAnsi"/>
          <w:b/>
        </w:rPr>
        <w:t xml:space="preserve">Żyrardów </w:t>
      </w:r>
      <w:r w:rsidR="00291495">
        <w:rPr>
          <w:rFonts w:cstheme="minorHAnsi"/>
          <w:b/>
        </w:rPr>
        <w:br/>
      </w:r>
      <w:r w:rsidR="00222BD7" w:rsidRPr="00594A25">
        <w:rPr>
          <w:rFonts w:cstheme="minorHAnsi"/>
          <w:b/>
        </w:rPr>
        <w:t>w podziale na 5 części</w:t>
      </w:r>
      <w:r w:rsidR="00D46C25" w:rsidRPr="00D46C25">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7D690C0A" w:rsidR="005A7EEA" w:rsidRPr="005A7EEA" w:rsidRDefault="00D46C25" w:rsidP="005A7EEA">
      <w:pPr>
        <w:pStyle w:val="tekst"/>
        <w:spacing w:before="0"/>
        <w:jc w:val="center"/>
        <w:rPr>
          <w:rFonts w:ascii="Calibri" w:hAnsi="Calibri" w:cs="Calibri"/>
          <w:b/>
          <w:sz w:val="20"/>
        </w:rPr>
      </w:pPr>
      <w:r>
        <w:rPr>
          <w:rFonts w:ascii="Calibri" w:hAnsi="Calibri" w:cs="Calibri"/>
          <w:b/>
          <w:sz w:val="22"/>
        </w:rPr>
        <w:t>POST/DYS/OLD/GZ/</w:t>
      </w:r>
      <w:r w:rsidR="00291495">
        <w:rPr>
          <w:rFonts w:ascii="Calibri" w:hAnsi="Calibri" w:cs="Calibri"/>
          <w:b/>
          <w:sz w:val="22"/>
        </w:rPr>
        <w:t>0</w:t>
      </w:r>
      <w:r w:rsidR="0070194E">
        <w:rPr>
          <w:rFonts w:ascii="Calibri" w:hAnsi="Calibri" w:cs="Calibri"/>
          <w:b/>
          <w:sz w:val="22"/>
        </w:rPr>
        <w:t>4378</w:t>
      </w:r>
      <w:r w:rsidR="005A7EEA"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2B935272"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6C64D7">
        <w:rPr>
          <w:noProof/>
        </w:rPr>
        <w:t>4 grudnia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708610E9">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2F6437A2" w:rsidR="0059192E" w:rsidRDefault="0059192E" w:rsidP="004955CB">
      <w:pPr>
        <w:pStyle w:val="Nagwek1"/>
        <w:numPr>
          <w:ilvl w:val="0"/>
          <w:numId w:val="0"/>
        </w:numPr>
      </w:pPr>
    </w:p>
    <w:p w14:paraId="32B71878" w14:textId="17342A6C" w:rsidR="00870A6A" w:rsidRDefault="00870A6A" w:rsidP="00870A6A">
      <w:pPr>
        <w:pStyle w:val="Nagwek2"/>
        <w:numPr>
          <w:ilvl w:val="0"/>
          <w:numId w:val="0"/>
        </w:numPr>
        <w:ind w:left="432"/>
      </w:pPr>
    </w:p>
    <w:p w14:paraId="474C3857" w14:textId="77777777" w:rsidR="00870A6A" w:rsidRPr="00870A6A" w:rsidRDefault="00870A6A" w:rsidP="00870A6A">
      <w:pPr>
        <w:pStyle w:val="Nagwek2"/>
        <w:numPr>
          <w:ilvl w:val="0"/>
          <w:numId w:val="0"/>
        </w:numPr>
        <w:ind w:left="432"/>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41FFD23F" w:rsidR="0059192E" w:rsidRPr="001B2459" w:rsidRDefault="0059192E" w:rsidP="0070194E">
          <w:pPr>
            <w:pStyle w:val="Nagwekspisutreci"/>
            <w:tabs>
              <w:tab w:val="left" w:pos="2692"/>
            </w:tabs>
          </w:pPr>
          <w:r w:rsidRPr="001B2459">
            <w:t>Spis treści</w:t>
          </w:r>
          <w:r w:rsidR="0070194E">
            <w:tab/>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6C64D7">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6C64D7">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6C64D7">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6C64D7">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6C64D7">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6C64D7">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6C64D7">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6C64D7">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6C64D7">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6C64D7">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6C64D7">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6C64D7">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6C64D7">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6C64D7">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6C64D7">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6C64D7">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6C64D7">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6C64D7">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4422CF4D"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E1A11E4" w:rsidR="0059192E" w:rsidRDefault="0059192E" w:rsidP="001B2459">
      <w:pPr>
        <w:pStyle w:val="Nagwek2"/>
        <w:numPr>
          <w:ilvl w:val="0"/>
          <w:numId w:val="0"/>
        </w:numPr>
        <w:rPr>
          <w:rFonts w:ascii="Calibri" w:hAnsi="Calibri" w:cs="Calibri"/>
        </w:rPr>
      </w:pPr>
    </w:p>
    <w:p w14:paraId="492D5303" w14:textId="0B5807CF" w:rsidR="00347FF4" w:rsidRDefault="00347FF4" w:rsidP="001B2459">
      <w:pPr>
        <w:pStyle w:val="Nagwek2"/>
        <w:numPr>
          <w:ilvl w:val="0"/>
          <w:numId w:val="0"/>
        </w:numPr>
        <w:rPr>
          <w:rFonts w:ascii="Calibri" w:hAnsi="Calibri" w:cs="Calibri"/>
        </w:rPr>
      </w:pPr>
    </w:p>
    <w:p w14:paraId="4B304074" w14:textId="77777777" w:rsidR="00347FF4" w:rsidRPr="009E4E7A" w:rsidRDefault="00347FF4" w:rsidP="001B2459">
      <w:pPr>
        <w:pStyle w:val="Nagwek2"/>
        <w:numPr>
          <w:ilvl w:val="0"/>
          <w:numId w:val="0"/>
        </w:numPr>
        <w:rPr>
          <w:rFonts w:ascii="Calibri" w:hAnsi="Calibri" w:cs="Calibri"/>
        </w:rPr>
      </w:pPr>
    </w:p>
    <w:p w14:paraId="4015A0B3" w14:textId="246AE45C" w:rsidR="008F38F2" w:rsidRPr="001B2459" w:rsidRDefault="00652757" w:rsidP="004955CB">
      <w:pPr>
        <w:pStyle w:val="Nagwek1"/>
        <w:numPr>
          <w:ilvl w:val="0"/>
          <w:numId w:val="6"/>
        </w:numPr>
      </w:pPr>
      <w:bookmarkStart w:id="14" w:name="_Toc193111777"/>
      <w:bookmarkStart w:id="15" w:name="_Toc69029863"/>
      <w:r>
        <w:lastRenderedPageBreak/>
        <w:t xml:space="preserve">    </w:t>
      </w:r>
      <w:r w:rsidR="008F38F2"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6C64D7"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18660640"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67630409"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3EC1116E" w:rsidR="008F38F2"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0FC67B03" w14:textId="77777777" w:rsidR="00CC474A" w:rsidRPr="001B2459" w:rsidRDefault="00CC474A" w:rsidP="00CC474A">
      <w:pPr>
        <w:pStyle w:val="Akapitzlist"/>
        <w:spacing w:before="120" w:after="0" w:line="24" w:lineRule="atLeast"/>
        <w:ind w:left="709"/>
        <w:contextualSpacing w:val="0"/>
        <w:jc w:val="both"/>
        <w:rPr>
          <w:rFonts w:cs="Calibri"/>
          <w:sz w:val="20"/>
        </w:rPr>
      </w:pPr>
    </w:p>
    <w:p w14:paraId="2EDC492F" w14:textId="669CA61A" w:rsid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CC474A">
        <w:rPr>
          <w:rFonts w:cs="Calibri"/>
          <w:sz w:val="20"/>
        </w:rPr>
        <w:t xml:space="preserve">Oferta Wykonawców wspólnie ubiegających się o udzielenie zakupu musi szczegółowo wskazywać podział ról </w:t>
      </w:r>
      <w:r w:rsidR="00AD75B9" w:rsidRPr="00CC474A">
        <w:rPr>
          <w:rFonts w:cs="Calibri"/>
          <w:sz w:val="20"/>
        </w:rPr>
        <w:t xml:space="preserve">        </w:t>
      </w:r>
      <w:r w:rsidRPr="00CC474A">
        <w:rPr>
          <w:rFonts w:cs="Calibri"/>
          <w:sz w:val="20"/>
        </w:rPr>
        <w:t>i zobowiązań związanych z wykonywaniem przedmiotu zakupu pomiędzy podmiotami składającymi wspólnie ofertę.</w:t>
      </w:r>
    </w:p>
    <w:p w14:paraId="229D300E" w14:textId="77777777" w:rsidR="00CC474A" w:rsidRDefault="00CC474A" w:rsidP="00CC474A">
      <w:pPr>
        <w:pStyle w:val="Akapitzlist"/>
        <w:spacing w:before="120" w:after="0" w:line="24" w:lineRule="atLeast"/>
        <w:ind w:left="1080"/>
        <w:jc w:val="both"/>
        <w:rPr>
          <w:rFonts w:cs="Calibri"/>
          <w:sz w:val="20"/>
        </w:rPr>
      </w:pPr>
    </w:p>
    <w:p w14:paraId="0E0C07F5" w14:textId="7420F177" w:rsidR="008F38F2" w:rsidRP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6B14F791"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CC474A">
        <w:rPr>
          <w:rFonts w:cs="Calibri"/>
          <w:sz w:val="20"/>
        </w:rPr>
        <w:t xml:space="preserve">                 </w:t>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6C64D7"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6C64D7"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05641025"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CC474A">
        <w:rPr>
          <w:rFonts w:cs="Calibri"/>
          <w:sz w:val="20"/>
        </w:rPr>
        <w:t xml:space="preserve">               </w:t>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6C64D7"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383ED305" w:rsidR="008F38F2"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5D3230EB" w14:textId="6AEFA87F" w:rsidR="00314047" w:rsidRDefault="00314047" w:rsidP="00314047">
      <w:pPr>
        <w:spacing w:before="120" w:after="120" w:line="24" w:lineRule="atLeast"/>
        <w:jc w:val="both"/>
        <w:rPr>
          <w:rFonts w:cs="Calibri"/>
          <w:sz w:val="20"/>
        </w:rPr>
      </w:pPr>
    </w:p>
    <w:p w14:paraId="07200734" w14:textId="77777777" w:rsidR="00314047" w:rsidRPr="00314047" w:rsidRDefault="00314047" w:rsidP="00314047">
      <w:pPr>
        <w:spacing w:before="120" w:after="120" w:line="24" w:lineRule="atLeast"/>
        <w:jc w:val="both"/>
        <w:rPr>
          <w:rFonts w:cs="Calibri"/>
          <w:sz w:val="20"/>
        </w:rPr>
      </w:pPr>
    </w:p>
    <w:p w14:paraId="6B273A57" w14:textId="0FFA2B60" w:rsidR="008F38F2" w:rsidRPr="001B2459" w:rsidRDefault="00652757" w:rsidP="004955CB">
      <w:pPr>
        <w:pStyle w:val="Nagwek1"/>
        <w:numPr>
          <w:ilvl w:val="0"/>
          <w:numId w:val="7"/>
        </w:numPr>
      </w:pPr>
      <w:bookmarkStart w:id="16" w:name="_Toc193111778"/>
      <w:r>
        <w:lastRenderedPageBreak/>
        <w:t xml:space="preserve">  </w:t>
      </w:r>
      <w:r w:rsidR="008F38F2" w:rsidRPr="001B2459">
        <w:t>OPIS PRZEDMIOTU ZAKUPU</w:t>
      </w:r>
      <w:bookmarkEnd w:id="16"/>
    </w:p>
    <w:p w14:paraId="5AF60CD2" w14:textId="62D62CD5" w:rsidR="008F38F2" w:rsidRPr="00314047" w:rsidRDefault="008F38F2" w:rsidP="00314047">
      <w:pPr>
        <w:pStyle w:val="Akapitzlist"/>
        <w:numPr>
          <w:ilvl w:val="1"/>
          <w:numId w:val="7"/>
        </w:numPr>
        <w:spacing w:before="120" w:line="24" w:lineRule="atLeast"/>
        <w:jc w:val="both"/>
        <w:rPr>
          <w:rFonts w:cs="Calibri"/>
          <w:b/>
          <w:bCs/>
          <w:sz w:val="20"/>
          <w:szCs w:val="20"/>
        </w:rPr>
      </w:pPr>
      <w:r w:rsidRPr="001B2459">
        <w:rPr>
          <w:rFonts w:cs="Calibri"/>
          <w:sz w:val="20"/>
        </w:rPr>
        <w:t xml:space="preserve">Przedmiotem postępowania zakupowego jest </w:t>
      </w:r>
      <w:r w:rsidR="00314047" w:rsidRPr="00314047">
        <w:rPr>
          <w:rFonts w:cstheme="minorHAnsi"/>
          <w:b/>
          <w:sz w:val="20"/>
          <w:szCs w:val="20"/>
        </w:rPr>
        <w:t xml:space="preserve">Wykonanie dokumentacji projektowej </w:t>
      </w:r>
      <w:r w:rsidR="00291495">
        <w:rPr>
          <w:rFonts w:cstheme="minorHAnsi"/>
          <w:b/>
          <w:sz w:val="20"/>
          <w:szCs w:val="20"/>
        </w:rPr>
        <w:br/>
      </w:r>
      <w:r w:rsidR="00314047" w:rsidRPr="00314047">
        <w:rPr>
          <w:rFonts w:cstheme="minorHAnsi"/>
          <w:b/>
          <w:sz w:val="20"/>
          <w:szCs w:val="20"/>
        </w:rPr>
        <w:t>w branży elektroenergetycznej na terenie działania OŁD w RE Żyrardów w podziale na 5 części</w:t>
      </w:r>
      <w:r w:rsidR="00D46C25" w:rsidRPr="00314047">
        <w:rPr>
          <w:rFonts w:cs="Calibri"/>
          <w:bCs/>
          <w:sz w:val="20"/>
          <w:szCs w:val="20"/>
        </w:rPr>
        <w:t>.</w:t>
      </w:r>
    </w:p>
    <w:p w14:paraId="1F4ED768" w14:textId="77777777" w:rsidR="00652757" w:rsidRPr="00652757" w:rsidRDefault="00652757" w:rsidP="00652757">
      <w:pPr>
        <w:pStyle w:val="Akapitzlist"/>
        <w:spacing w:before="120" w:line="24" w:lineRule="atLeast"/>
        <w:ind w:left="567"/>
        <w:jc w:val="both"/>
        <w:rPr>
          <w:rFonts w:cs="Calibri"/>
          <w:b/>
          <w:bCs/>
          <w:sz w:val="10"/>
        </w:rPr>
      </w:pPr>
    </w:p>
    <w:p w14:paraId="4C62EDAD" w14:textId="31D47F81" w:rsidR="00652757" w:rsidRDefault="008F38F2" w:rsidP="00652757">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Zamawiający </w:t>
      </w:r>
      <w:r w:rsidRPr="001B2459">
        <w:rPr>
          <w:rFonts w:cs="Calibri"/>
          <w:b/>
          <w:bCs/>
          <w:sz w:val="20"/>
        </w:rPr>
        <w:t>dopuszcza</w:t>
      </w:r>
      <w:r w:rsidRPr="001B2459">
        <w:rPr>
          <w:rFonts w:cs="Calibri"/>
          <w:sz w:val="20"/>
        </w:rPr>
        <w:t xml:space="preserve"> składania ofert częśc</w:t>
      </w:r>
      <w:r w:rsidR="00D46C25">
        <w:rPr>
          <w:rFonts w:cs="Calibri"/>
          <w:sz w:val="20"/>
        </w:rPr>
        <w:t xml:space="preserve">iowych, </w:t>
      </w:r>
      <w:r w:rsidR="00CC474A" w:rsidRPr="00D46C25">
        <w:rPr>
          <w:rFonts w:cs="Calibri"/>
          <w:b/>
          <w:sz w:val="20"/>
        </w:rPr>
        <w:t>ni</w:t>
      </w:r>
      <w:r w:rsidR="00D46C25" w:rsidRPr="00D46C25">
        <w:rPr>
          <w:rFonts w:cs="Calibri"/>
          <w:b/>
          <w:sz w:val="20"/>
        </w:rPr>
        <w:t>e dopuszcza</w:t>
      </w:r>
      <w:r w:rsidR="00CC474A">
        <w:rPr>
          <w:rFonts w:cs="Calibri"/>
          <w:sz w:val="20"/>
        </w:rPr>
        <w:t xml:space="preserve"> </w:t>
      </w:r>
      <w:r w:rsidR="00D46C25">
        <w:rPr>
          <w:rFonts w:cs="Calibri"/>
          <w:sz w:val="20"/>
        </w:rPr>
        <w:t xml:space="preserve">składania </w:t>
      </w:r>
      <w:r w:rsidR="00CC474A">
        <w:rPr>
          <w:rFonts w:cs="Calibri"/>
          <w:sz w:val="20"/>
        </w:rPr>
        <w:t>ofert wariantowych.</w:t>
      </w:r>
      <w:r w:rsidR="00D46C25">
        <w:rPr>
          <w:rFonts w:cs="Calibri"/>
          <w:sz w:val="20"/>
        </w:rPr>
        <w:t xml:space="preserve"> </w:t>
      </w:r>
      <w:r w:rsidR="00D46C25" w:rsidRPr="00D46C25">
        <w:rPr>
          <w:rFonts w:cs="Calibri"/>
          <w:sz w:val="20"/>
        </w:rPr>
        <w:t xml:space="preserve">Zakup został podzielony na </w:t>
      </w:r>
      <w:r w:rsidR="00314047">
        <w:rPr>
          <w:rFonts w:cs="Calibri"/>
          <w:sz w:val="20"/>
        </w:rPr>
        <w:t>5</w:t>
      </w:r>
      <w:r w:rsidR="00D46C25" w:rsidRPr="00D46C25">
        <w:rPr>
          <w:rFonts w:cs="Calibri"/>
          <w:sz w:val="20"/>
        </w:rPr>
        <w:t xml:space="preserve"> (słownie: </w:t>
      </w:r>
      <w:r w:rsidR="00314047">
        <w:rPr>
          <w:rFonts w:cs="Calibri"/>
          <w:sz w:val="20"/>
        </w:rPr>
        <w:t>pięć</w:t>
      </w:r>
      <w:r w:rsidR="00D46C25" w:rsidRPr="00D46C25">
        <w:rPr>
          <w:rFonts w:cs="Calibri"/>
          <w:sz w:val="20"/>
        </w:rPr>
        <w:t>) niezależn</w:t>
      </w:r>
      <w:r w:rsidR="00314047">
        <w:rPr>
          <w:rFonts w:cs="Calibri"/>
          <w:sz w:val="20"/>
        </w:rPr>
        <w:t>ych</w:t>
      </w:r>
      <w:r w:rsidR="00D46C25" w:rsidRPr="00D46C25">
        <w:rPr>
          <w:rFonts w:cs="Calibri"/>
          <w:sz w:val="20"/>
        </w:rPr>
        <w:t xml:space="preserve"> części w sposób opisany poniżej:</w:t>
      </w:r>
    </w:p>
    <w:p w14:paraId="159E261F" w14:textId="77777777" w:rsidR="00D46C25" w:rsidRPr="00D46C25" w:rsidRDefault="00D46C25" w:rsidP="00D46C25">
      <w:pPr>
        <w:pStyle w:val="Akapitzlist"/>
        <w:rPr>
          <w:rFonts w:cs="Calibri"/>
          <w:sz w:val="20"/>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8364"/>
      </w:tblGrid>
      <w:tr w:rsidR="00D46C25" w:rsidRPr="00D92EB9" w14:paraId="323BF071" w14:textId="77777777" w:rsidTr="00D46C25">
        <w:trPr>
          <w:trHeight w:val="597"/>
        </w:trPr>
        <w:tc>
          <w:tcPr>
            <w:tcW w:w="1417" w:type="dxa"/>
            <w:shd w:val="clear" w:color="auto" w:fill="EFF5E0" w:themeFill="accent1" w:themeFillTint="33"/>
            <w:vAlign w:val="center"/>
          </w:tcPr>
          <w:p w14:paraId="6121AE81" w14:textId="77777777" w:rsidR="00D46C25" w:rsidRPr="00AF7887" w:rsidRDefault="00D46C25" w:rsidP="00D46C25">
            <w:pPr>
              <w:spacing w:after="0"/>
              <w:jc w:val="center"/>
              <w:outlineLvl w:val="0"/>
              <w:rPr>
                <w:rFonts w:cstheme="minorHAnsi"/>
                <w:b/>
                <w:sz w:val="20"/>
              </w:rPr>
            </w:pPr>
            <w:r w:rsidRPr="00AF7887">
              <w:rPr>
                <w:rFonts w:cstheme="minorHAnsi"/>
                <w:b/>
                <w:sz w:val="20"/>
              </w:rPr>
              <w:t>Nr Części</w:t>
            </w:r>
          </w:p>
        </w:tc>
        <w:tc>
          <w:tcPr>
            <w:tcW w:w="8364" w:type="dxa"/>
            <w:shd w:val="clear" w:color="auto" w:fill="EFF5E0" w:themeFill="accent1" w:themeFillTint="33"/>
            <w:vAlign w:val="center"/>
          </w:tcPr>
          <w:p w14:paraId="6430766C" w14:textId="77777777" w:rsidR="00D46C25" w:rsidRPr="00D92EB9" w:rsidRDefault="00D46C25" w:rsidP="00D46C25">
            <w:pPr>
              <w:spacing w:after="0"/>
              <w:outlineLvl w:val="0"/>
              <w:rPr>
                <w:rFonts w:cstheme="minorHAnsi"/>
                <w:b/>
                <w:sz w:val="20"/>
              </w:rPr>
            </w:pPr>
            <w:r w:rsidRPr="00D92EB9">
              <w:rPr>
                <w:rFonts w:cstheme="minorHAnsi"/>
                <w:b/>
                <w:sz w:val="20"/>
              </w:rPr>
              <w:t>Nazwa Części Zakupu</w:t>
            </w:r>
          </w:p>
        </w:tc>
      </w:tr>
      <w:tr w:rsidR="00D46C25" w:rsidRPr="004D3689" w14:paraId="12CBC052" w14:textId="77777777" w:rsidTr="00D46C25">
        <w:trPr>
          <w:trHeight w:val="691"/>
        </w:trPr>
        <w:tc>
          <w:tcPr>
            <w:tcW w:w="1417" w:type="dxa"/>
            <w:shd w:val="clear" w:color="auto" w:fill="auto"/>
            <w:vAlign w:val="center"/>
          </w:tcPr>
          <w:p w14:paraId="4083E569"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1</w:t>
            </w:r>
          </w:p>
        </w:tc>
        <w:tc>
          <w:tcPr>
            <w:tcW w:w="8364" w:type="dxa"/>
            <w:shd w:val="clear" w:color="auto" w:fill="auto"/>
            <w:vAlign w:val="center"/>
          </w:tcPr>
          <w:p w14:paraId="61BDEAA4" w14:textId="1C905DE8" w:rsidR="00405E27" w:rsidRPr="00405E27" w:rsidRDefault="0070194E" w:rsidP="00405E27">
            <w:pPr>
              <w:autoSpaceDE w:val="0"/>
              <w:autoSpaceDN w:val="0"/>
              <w:adjustRightInd w:val="0"/>
              <w:spacing w:after="0"/>
              <w:rPr>
                <w:rFonts w:cstheme="minorHAnsi"/>
                <w:sz w:val="20"/>
                <w:szCs w:val="20"/>
              </w:rPr>
            </w:pPr>
            <w:r w:rsidRPr="0070194E">
              <w:rPr>
                <w:rFonts w:cstheme="minorHAnsi"/>
                <w:sz w:val="20"/>
                <w:szCs w:val="20"/>
              </w:rPr>
              <w:t xml:space="preserve">Zasilanie działki w miejscowości Wólka Babska dz. 36 gm. Biała Rawska ” - rozbudowa sieci </w:t>
            </w:r>
            <w:proofErr w:type="spellStart"/>
            <w:r w:rsidRPr="0070194E">
              <w:rPr>
                <w:rFonts w:cstheme="minorHAnsi"/>
                <w:sz w:val="20"/>
                <w:szCs w:val="20"/>
              </w:rPr>
              <w:t>nN</w:t>
            </w:r>
            <w:proofErr w:type="spellEnd"/>
          </w:p>
          <w:p w14:paraId="1F04B621" w14:textId="795D0F10" w:rsidR="00D46C25" w:rsidRPr="00405E27" w:rsidRDefault="00D46C25" w:rsidP="00D46C25">
            <w:pPr>
              <w:pStyle w:val="Akapitzlist"/>
              <w:spacing w:after="0"/>
              <w:ind w:left="37"/>
              <w:outlineLvl w:val="0"/>
              <w:rPr>
                <w:rFonts w:cs="Calibri"/>
                <w:sz w:val="20"/>
                <w:szCs w:val="20"/>
              </w:rPr>
            </w:pPr>
          </w:p>
        </w:tc>
      </w:tr>
      <w:tr w:rsidR="00D46C25" w:rsidRPr="004D3689" w14:paraId="096CDC69" w14:textId="77777777" w:rsidTr="00D46C25">
        <w:trPr>
          <w:trHeight w:val="701"/>
        </w:trPr>
        <w:tc>
          <w:tcPr>
            <w:tcW w:w="1417" w:type="dxa"/>
            <w:shd w:val="clear" w:color="auto" w:fill="auto"/>
            <w:vAlign w:val="center"/>
          </w:tcPr>
          <w:p w14:paraId="2D9DC356"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2</w:t>
            </w:r>
          </w:p>
        </w:tc>
        <w:tc>
          <w:tcPr>
            <w:tcW w:w="8364" w:type="dxa"/>
            <w:shd w:val="clear" w:color="auto" w:fill="auto"/>
            <w:vAlign w:val="center"/>
          </w:tcPr>
          <w:p w14:paraId="3EC406B5" w14:textId="67CD0F6D" w:rsidR="00405E27" w:rsidRPr="00405E27" w:rsidRDefault="0070194E" w:rsidP="00405E27">
            <w:pPr>
              <w:autoSpaceDE w:val="0"/>
              <w:autoSpaceDN w:val="0"/>
              <w:adjustRightInd w:val="0"/>
              <w:spacing w:after="0"/>
              <w:rPr>
                <w:rFonts w:cstheme="minorHAnsi"/>
                <w:sz w:val="20"/>
                <w:szCs w:val="20"/>
              </w:rPr>
            </w:pPr>
            <w:r w:rsidRPr="0070194E">
              <w:rPr>
                <w:rFonts w:cstheme="minorHAnsi"/>
                <w:sz w:val="20"/>
                <w:szCs w:val="20"/>
              </w:rPr>
              <w:t xml:space="preserve">Zwiększenie mocy do budynku mieszkalnego w miejscowości Skierniewice </w:t>
            </w:r>
            <w:r>
              <w:rPr>
                <w:rFonts w:cstheme="minorHAnsi"/>
                <w:sz w:val="20"/>
                <w:szCs w:val="20"/>
              </w:rPr>
              <w:br/>
            </w:r>
            <w:r w:rsidRPr="0070194E">
              <w:rPr>
                <w:rFonts w:cstheme="minorHAnsi"/>
                <w:sz w:val="20"/>
                <w:szCs w:val="20"/>
              </w:rPr>
              <w:t xml:space="preserve">ul. Waryńskiego dz. 188/11 gm. Skierniewice - rozbudowa sieci </w:t>
            </w:r>
            <w:proofErr w:type="spellStart"/>
            <w:r w:rsidRPr="0070194E">
              <w:rPr>
                <w:rFonts w:cstheme="minorHAnsi"/>
                <w:sz w:val="20"/>
                <w:szCs w:val="20"/>
              </w:rPr>
              <w:t>nN</w:t>
            </w:r>
            <w:proofErr w:type="spellEnd"/>
          </w:p>
          <w:p w14:paraId="185B80E7" w14:textId="0217D366" w:rsidR="00D46C25" w:rsidRPr="00405E27" w:rsidRDefault="00D46C25" w:rsidP="00D46C25">
            <w:pPr>
              <w:pStyle w:val="Akapitzlist"/>
              <w:spacing w:after="0"/>
              <w:ind w:left="37"/>
              <w:outlineLvl w:val="0"/>
              <w:rPr>
                <w:rFonts w:cs="Calibri"/>
                <w:sz w:val="20"/>
                <w:szCs w:val="20"/>
              </w:rPr>
            </w:pPr>
          </w:p>
        </w:tc>
      </w:tr>
      <w:tr w:rsidR="00D46C25" w:rsidRPr="004D3689" w14:paraId="3FF54861" w14:textId="77777777" w:rsidTr="00D46C25">
        <w:trPr>
          <w:trHeight w:val="710"/>
        </w:trPr>
        <w:tc>
          <w:tcPr>
            <w:tcW w:w="1417" w:type="dxa"/>
            <w:shd w:val="clear" w:color="auto" w:fill="auto"/>
            <w:vAlign w:val="center"/>
          </w:tcPr>
          <w:p w14:paraId="30506E5B"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3</w:t>
            </w:r>
          </w:p>
        </w:tc>
        <w:tc>
          <w:tcPr>
            <w:tcW w:w="8364" w:type="dxa"/>
            <w:shd w:val="clear" w:color="auto" w:fill="auto"/>
            <w:vAlign w:val="center"/>
          </w:tcPr>
          <w:p w14:paraId="5B6AE7EE" w14:textId="260CECB9" w:rsidR="00405E27" w:rsidRPr="00405E27" w:rsidRDefault="0070194E" w:rsidP="00405E27">
            <w:pPr>
              <w:autoSpaceDE w:val="0"/>
              <w:autoSpaceDN w:val="0"/>
              <w:adjustRightInd w:val="0"/>
              <w:spacing w:after="0"/>
              <w:rPr>
                <w:rFonts w:cstheme="minorHAnsi"/>
                <w:sz w:val="20"/>
                <w:szCs w:val="20"/>
              </w:rPr>
            </w:pPr>
            <w:r w:rsidRPr="0070194E">
              <w:rPr>
                <w:rFonts w:cstheme="minorHAnsi"/>
                <w:sz w:val="20"/>
                <w:szCs w:val="20"/>
              </w:rPr>
              <w:t xml:space="preserve">Przebudowa linii napowietrznej SN i </w:t>
            </w:r>
            <w:proofErr w:type="spellStart"/>
            <w:r w:rsidRPr="0070194E">
              <w:rPr>
                <w:rFonts w:cstheme="minorHAnsi"/>
                <w:sz w:val="20"/>
                <w:szCs w:val="20"/>
              </w:rPr>
              <w:t>nN</w:t>
            </w:r>
            <w:proofErr w:type="spellEnd"/>
            <w:r w:rsidRPr="0070194E">
              <w:rPr>
                <w:rFonts w:cstheme="minorHAnsi"/>
                <w:sz w:val="20"/>
                <w:szCs w:val="20"/>
              </w:rPr>
              <w:t xml:space="preserve"> w miejscowości Antoniew i Franciszków gm. Wiskitki - modernizacja sieci SN i </w:t>
            </w:r>
            <w:proofErr w:type="spellStart"/>
            <w:r w:rsidRPr="0070194E">
              <w:rPr>
                <w:rFonts w:cstheme="minorHAnsi"/>
                <w:sz w:val="20"/>
                <w:szCs w:val="20"/>
              </w:rPr>
              <w:t>nN</w:t>
            </w:r>
            <w:proofErr w:type="spellEnd"/>
          </w:p>
          <w:p w14:paraId="18A6541B" w14:textId="6715A9D3" w:rsidR="00D46C25" w:rsidRPr="00405E27" w:rsidRDefault="00D46C25" w:rsidP="00D46C25">
            <w:pPr>
              <w:pStyle w:val="Akapitzlist"/>
              <w:spacing w:after="0"/>
              <w:ind w:left="37"/>
              <w:outlineLvl w:val="0"/>
              <w:rPr>
                <w:rFonts w:cs="Calibri"/>
                <w:sz w:val="20"/>
                <w:szCs w:val="20"/>
              </w:rPr>
            </w:pPr>
          </w:p>
        </w:tc>
      </w:tr>
      <w:tr w:rsidR="00D46C25" w:rsidRPr="004D3689" w14:paraId="5807A08F" w14:textId="77777777" w:rsidTr="00D46C25">
        <w:trPr>
          <w:trHeight w:val="835"/>
        </w:trPr>
        <w:tc>
          <w:tcPr>
            <w:tcW w:w="1417" w:type="dxa"/>
            <w:shd w:val="clear" w:color="auto" w:fill="auto"/>
            <w:vAlign w:val="center"/>
          </w:tcPr>
          <w:p w14:paraId="20473E51" w14:textId="02D67A89" w:rsidR="00D46C25" w:rsidRPr="004D3689" w:rsidRDefault="00D46C25" w:rsidP="00D46C25">
            <w:pPr>
              <w:pStyle w:val="Akapitzlist"/>
              <w:spacing w:after="0"/>
              <w:ind w:hanging="804"/>
              <w:jc w:val="center"/>
              <w:outlineLvl w:val="0"/>
              <w:rPr>
                <w:rFonts w:cstheme="minorHAnsi"/>
                <w:sz w:val="20"/>
                <w:szCs w:val="18"/>
              </w:rPr>
            </w:pPr>
            <w:r>
              <w:rPr>
                <w:rFonts w:cstheme="minorHAnsi"/>
                <w:sz w:val="20"/>
                <w:szCs w:val="18"/>
              </w:rPr>
              <w:t>4</w:t>
            </w:r>
          </w:p>
        </w:tc>
        <w:tc>
          <w:tcPr>
            <w:tcW w:w="8364" w:type="dxa"/>
            <w:shd w:val="clear" w:color="auto" w:fill="auto"/>
            <w:vAlign w:val="center"/>
          </w:tcPr>
          <w:p w14:paraId="5F3E6678" w14:textId="3DD4E388" w:rsidR="00405E27" w:rsidRPr="00405E27" w:rsidRDefault="0070194E" w:rsidP="00405E27">
            <w:pPr>
              <w:autoSpaceDE w:val="0"/>
              <w:autoSpaceDN w:val="0"/>
              <w:adjustRightInd w:val="0"/>
              <w:spacing w:after="0"/>
              <w:rPr>
                <w:rFonts w:cstheme="minorHAnsi"/>
                <w:sz w:val="20"/>
                <w:szCs w:val="20"/>
              </w:rPr>
            </w:pPr>
            <w:r w:rsidRPr="0070194E">
              <w:rPr>
                <w:rFonts w:cstheme="minorHAnsi"/>
                <w:sz w:val="20"/>
                <w:szCs w:val="20"/>
              </w:rPr>
              <w:t xml:space="preserve">Przebudowa linii napowietrznej 15kV GPZ Kaleń - Ciepłe do stacji Skuły Osada </w:t>
            </w:r>
            <w:r>
              <w:rPr>
                <w:rFonts w:cstheme="minorHAnsi"/>
                <w:sz w:val="20"/>
                <w:szCs w:val="20"/>
              </w:rPr>
              <w:br/>
            </w:r>
            <w:r w:rsidRPr="0070194E">
              <w:rPr>
                <w:rFonts w:cstheme="minorHAnsi"/>
                <w:sz w:val="20"/>
                <w:szCs w:val="20"/>
              </w:rPr>
              <w:t>( 22-1750) gm. Żabia Wola</w:t>
            </w:r>
          </w:p>
          <w:p w14:paraId="682E6C8F" w14:textId="4520DF38" w:rsidR="00D46C25" w:rsidRPr="00405E27" w:rsidRDefault="00D46C25" w:rsidP="00D46C25">
            <w:pPr>
              <w:pStyle w:val="Akapitzlist"/>
              <w:spacing w:after="0"/>
              <w:ind w:left="37"/>
              <w:outlineLvl w:val="0"/>
              <w:rPr>
                <w:rFonts w:cs="Calibri"/>
                <w:sz w:val="20"/>
                <w:szCs w:val="20"/>
              </w:rPr>
            </w:pPr>
          </w:p>
        </w:tc>
      </w:tr>
      <w:tr w:rsidR="00314047" w:rsidRPr="004D3689" w14:paraId="0BFC65E7" w14:textId="77777777" w:rsidTr="00D46C25">
        <w:trPr>
          <w:trHeight w:val="835"/>
        </w:trPr>
        <w:tc>
          <w:tcPr>
            <w:tcW w:w="1417" w:type="dxa"/>
            <w:shd w:val="clear" w:color="auto" w:fill="auto"/>
            <w:vAlign w:val="center"/>
          </w:tcPr>
          <w:p w14:paraId="70F4F3AC" w14:textId="0671E99A" w:rsidR="00314047" w:rsidRDefault="00314047" w:rsidP="00D46C25">
            <w:pPr>
              <w:pStyle w:val="Akapitzlist"/>
              <w:spacing w:after="0"/>
              <w:ind w:hanging="804"/>
              <w:jc w:val="center"/>
              <w:outlineLvl w:val="0"/>
              <w:rPr>
                <w:rFonts w:cstheme="minorHAnsi"/>
                <w:sz w:val="20"/>
                <w:szCs w:val="18"/>
              </w:rPr>
            </w:pPr>
            <w:r>
              <w:rPr>
                <w:rFonts w:cstheme="minorHAnsi"/>
                <w:sz w:val="20"/>
                <w:szCs w:val="18"/>
              </w:rPr>
              <w:t>5</w:t>
            </w:r>
          </w:p>
        </w:tc>
        <w:tc>
          <w:tcPr>
            <w:tcW w:w="8364" w:type="dxa"/>
            <w:shd w:val="clear" w:color="auto" w:fill="auto"/>
            <w:vAlign w:val="center"/>
          </w:tcPr>
          <w:p w14:paraId="7C68CC30" w14:textId="1AF4D67B" w:rsidR="00405E27" w:rsidRPr="00405E27" w:rsidRDefault="0070194E" w:rsidP="00405E27">
            <w:pPr>
              <w:autoSpaceDE w:val="0"/>
              <w:autoSpaceDN w:val="0"/>
              <w:adjustRightInd w:val="0"/>
              <w:spacing w:after="0"/>
              <w:rPr>
                <w:rFonts w:cstheme="minorHAnsi"/>
                <w:sz w:val="20"/>
                <w:szCs w:val="20"/>
              </w:rPr>
            </w:pPr>
            <w:r w:rsidRPr="0070194E">
              <w:rPr>
                <w:rFonts w:cstheme="minorHAnsi"/>
                <w:sz w:val="20"/>
                <w:szCs w:val="20"/>
              </w:rPr>
              <w:t>Przebudowa linii napowietrznej 15kV GPZ Kaleń - Ciepłe do stacji Ciepłe Skuły (22-1102) gm. Żabia Wola</w:t>
            </w:r>
          </w:p>
          <w:p w14:paraId="0034FDE2" w14:textId="65B4D30E" w:rsidR="00314047" w:rsidRPr="00405E27" w:rsidRDefault="00314047" w:rsidP="00314047">
            <w:pPr>
              <w:spacing w:after="0"/>
              <w:outlineLvl w:val="0"/>
              <w:rPr>
                <w:rFonts w:cs="Calibri"/>
                <w:sz w:val="20"/>
                <w:szCs w:val="20"/>
              </w:rPr>
            </w:pPr>
          </w:p>
        </w:tc>
      </w:tr>
    </w:tbl>
    <w:p w14:paraId="5352D7AC" w14:textId="77777777" w:rsidR="00D46C25" w:rsidRPr="00652757" w:rsidRDefault="00D46C25" w:rsidP="00D46C25">
      <w:pPr>
        <w:pStyle w:val="Akapitzlist"/>
        <w:spacing w:before="120" w:after="0" w:line="24" w:lineRule="atLeast"/>
        <w:ind w:left="567"/>
        <w:contextualSpacing w:val="0"/>
        <w:jc w:val="both"/>
        <w:rPr>
          <w:rFonts w:cs="Calibri"/>
          <w:sz w:val="20"/>
        </w:rPr>
      </w:pPr>
    </w:p>
    <w:p w14:paraId="0540A05D" w14:textId="77777777" w:rsidR="00652757" w:rsidRPr="00652757" w:rsidRDefault="00652757" w:rsidP="00652757">
      <w:pPr>
        <w:pStyle w:val="Akapitzlist"/>
        <w:spacing w:after="0" w:line="24" w:lineRule="atLeast"/>
        <w:ind w:left="567"/>
        <w:contextualSpacing w:val="0"/>
        <w:jc w:val="both"/>
        <w:rPr>
          <w:rFonts w:cs="Calibri"/>
          <w:sz w:val="10"/>
        </w:rPr>
      </w:pPr>
    </w:p>
    <w:p w14:paraId="774BEEEB" w14:textId="2C3FFAAC" w:rsidR="00CC474A" w:rsidRPr="00652757" w:rsidRDefault="008F38F2" w:rsidP="00652757">
      <w:pPr>
        <w:pStyle w:val="Akapitzlist"/>
        <w:numPr>
          <w:ilvl w:val="1"/>
          <w:numId w:val="7"/>
        </w:numPr>
        <w:spacing w:after="0" w:line="24" w:lineRule="atLeast"/>
        <w:ind w:left="567" w:hanging="567"/>
        <w:contextualSpacing w:val="0"/>
        <w:jc w:val="both"/>
        <w:rPr>
          <w:rFonts w:cs="Calibri"/>
          <w:sz w:val="20"/>
        </w:rPr>
      </w:pPr>
      <w:r w:rsidRPr="00652757">
        <w:rPr>
          <w:rFonts w:cs="Calibri"/>
          <w:sz w:val="20"/>
        </w:rPr>
        <w:t xml:space="preserve">Pozostałe warunki i wymagania dotyczące realizacji zamówienia zostały określone </w:t>
      </w:r>
      <w:r w:rsidR="00CC474A" w:rsidRPr="00652757">
        <w:rPr>
          <w:rFonts w:cs="Calibri"/>
          <w:sz w:val="20"/>
        </w:rPr>
        <w:t xml:space="preserve">                    </w:t>
      </w:r>
      <w:r w:rsidRPr="00652757">
        <w:rPr>
          <w:rFonts w:cs="Calibri"/>
          <w:sz w:val="20"/>
        </w:rPr>
        <w:t xml:space="preserve">w załączonym Szczegółowym Opisie Przedmiotu Zamówienia, stanowiącym </w:t>
      </w:r>
      <w:r w:rsidRPr="00652757">
        <w:rPr>
          <w:rFonts w:cs="Calibri"/>
          <w:b/>
          <w:bCs/>
          <w:sz w:val="20"/>
        </w:rPr>
        <w:t>Załącznik nr 1 do SWZ</w:t>
      </w:r>
      <w:r w:rsidRPr="00652757">
        <w:rPr>
          <w:rFonts w:cs="Calibri"/>
          <w:sz w:val="20"/>
        </w:rPr>
        <w:t xml:space="preserve"> oraz Umowie, której wzór stanowi </w:t>
      </w:r>
      <w:r w:rsidR="00AD75B9" w:rsidRPr="00652757">
        <w:rPr>
          <w:rFonts w:cs="Calibri"/>
          <w:b/>
          <w:bCs/>
          <w:sz w:val="20"/>
        </w:rPr>
        <w:t>Załącznik nr 5</w:t>
      </w:r>
      <w:r w:rsidRPr="00652757">
        <w:rPr>
          <w:rFonts w:cs="Calibri"/>
          <w:b/>
          <w:bCs/>
          <w:sz w:val="20"/>
        </w:rPr>
        <w:t xml:space="preserve"> do SWZ</w:t>
      </w:r>
      <w:r w:rsidRPr="00652757">
        <w:rPr>
          <w:rFonts w:cs="Calibri"/>
          <w:sz w:val="20"/>
        </w:rPr>
        <w:t>.</w:t>
      </w:r>
    </w:p>
    <w:p w14:paraId="089F4DA4" w14:textId="7ED1A6DF" w:rsidR="004227E0" w:rsidRPr="00093F52" w:rsidRDefault="00652757" w:rsidP="004955CB">
      <w:pPr>
        <w:pStyle w:val="Nagwek1"/>
        <w:numPr>
          <w:ilvl w:val="0"/>
          <w:numId w:val="8"/>
        </w:numPr>
      </w:pPr>
      <w:bookmarkStart w:id="17" w:name="_Toc193111780"/>
      <w:r>
        <w:t xml:space="preserve">  </w:t>
      </w:r>
      <w:r w:rsidR="004227E0" w:rsidRPr="00093F52">
        <w:t>TERMIN WYKONANIA ZAMÓWIENIA</w:t>
      </w:r>
    </w:p>
    <w:p w14:paraId="7DACD2F1" w14:textId="363F0412" w:rsidR="004227E0" w:rsidRPr="004227E0" w:rsidRDefault="004227E0" w:rsidP="004227E0">
      <w:pPr>
        <w:pStyle w:val="Akapitzlist"/>
        <w:numPr>
          <w:ilvl w:val="1"/>
          <w:numId w:val="8"/>
        </w:numPr>
        <w:spacing w:after="0"/>
        <w:ind w:left="567" w:hanging="567"/>
        <w:jc w:val="both"/>
        <w:rPr>
          <w:sz w:val="20"/>
        </w:rPr>
      </w:pPr>
      <w:r w:rsidRPr="00093F52">
        <w:rPr>
          <w:sz w:val="20"/>
        </w:rPr>
        <w:t xml:space="preserve">Termin realizacji zamówienia został określony w </w:t>
      </w:r>
      <w:r w:rsidRPr="00093F52">
        <w:rPr>
          <w:b/>
          <w:bCs/>
          <w:sz w:val="20"/>
        </w:rPr>
        <w:t>Załączniku nr 1 do SWZ</w:t>
      </w:r>
      <w:r w:rsidRPr="00093F52">
        <w:rPr>
          <w:sz w:val="20"/>
        </w:rPr>
        <w:t>.</w:t>
      </w:r>
    </w:p>
    <w:p w14:paraId="7C4E3D14" w14:textId="17225525" w:rsidR="008F38F2" w:rsidRPr="001B2459" w:rsidRDefault="00652757" w:rsidP="004955CB">
      <w:pPr>
        <w:pStyle w:val="Nagwek1"/>
        <w:numPr>
          <w:ilvl w:val="0"/>
          <w:numId w:val="8"/>
        </w:numPr>
      </w:pPr>
      <w:r>
        <w:t xml:space="preserve">  </w:t>
      </w:r>
      <w:r w:rsidR="008F38F2" w:rsidRPr="001B2459">
        <w:t>WADIUM</w:t>
      </w:r>
      <w:bookmarkEnd w:id="17"/>
    </w:p>
    <w:p w14:paraId="5EA4F96F" w14:textId="2B33AC60" w:rsidR="006F6A6C" w:rsidRPr="00D46C25" w:rsidRDefault="00D46C25" w:rsidP="00652757">
      <w:pPr>
        <w:pStyle w:val="Akapitzlist"/>
        <w:numPr>
          <w:ilvl w:val="1"/>
          <w:numId w:val="8"/>
        </w:numPr>
        <w:spacing w:before="120" w:after="0" w:line="24" w:lineRule="atLeast"/>
        <w:ind w:left="567" w:hanging="567"/>
        <w:jc w:val="both"/>
        <w:rPr>
          <w:rFonts w:cs="Calibri"/>
          <w:sz w:val="20"/>
        </w:rPr>
      </w:pPr>
      <w:r w:rsidRPr="00D46C25">
        <w:rPr>
          <w:rFonts w:cs="Calibri"/>
          <w:sz w:val="20"/>
        </w:rPr>
        <w:t xml:space="preserve">Zamawiający </w:t>
      </w:r>
      <w:r w:rsidRPr="00D46C25">
        <w:rPr>
          <w:rFonts w:cs="Calibri"/>
          <w:b/>
          <w:sz w:val="20"/>
        </w:rPr>
        <w:t>nie wymaga</w:t>
      </w:r>
      <w:r w:rsidRPr="00D46C25">
        <w:rPr>
          <w:rFonts w:cs="Calibri"/>
          <w:sz w:val="20"/>
        </w:rPr>
        <w:t xml:space="preserve"> wniesienia wadium.</w:t>
      </w:r>
    </w:p>
    <w:p w14:paraId="32BB3CB5" w14:textId="77777777" w:rsidR="00652757" w:rsidRPr="00652757" w:rsidRDefault="00652757" w:rsidP="00652757">
      <w:pPr>
        <w:pStyle w:val="Akapitzlist"/>
        <w:spacing w:before="120" w:after="0" w:line="24" w:lineRule="atLeast"/>
        <w:ind w:left="567"/>
        <w:jc w:val="both"/>
        <w:rPr>
          <w:rFonts w:cs="Calibri"/>
          <w:sz w:val="10"/>
        </w:rPr>
      </w:pPr>
    </w:p>
    <w:p w14:paraId="3466642E" w14:textId="003E1DEE" w:rsidR="008F38F2" w:rsidRPr="001B2459" w:rsidRDefault="008F38F2" w:rsidP="004955CB">
      <w:pPr>
        <w:pStyle w:val="Nagwek1"/>
        <w:numPr>
          <w:ilvl w:val="0"/>
          <w:numId w:val="8"/>
        </w:numPr>
      </w:pPr>
      <w:bookmarkStart w:id="18" w:name="_Toc193111781"/>
      <w:r w:rsidRPr="001B2459">
        <w:t>PRZESŁANKI WYKLUCZENIA, WARUNKI UDZIAŁU W POSTĘPOWANIU ORAZ OPIS SPOSOBU OCENY SPEŁNIENIA TYCH WARUNKÓW</w:t>
      </w:r>
      <w:bookmarkEnd w:id="18"/>
    </w:p>
    <w:p w14:paraId="571E061C" w14:textId="77777777" w:rsidR="008F38F2" w:rsidRPr="001B2459" w:rsidRDefault="008F38F2" w:rsidP="00652757">
      <w:pPr>
        <w:pStyle w:val="Akapitzlist"/>
        <w:widowControl w:val="0"/>
        <w:numPr>
          <w:ilvl w:val="1"/>
          <w:numId w:val="8"/>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lastRenderedPageBreak/>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652757">
      <w:pPr>
        <w:pStyle w:val="Akapitzlist"/>
        <w:widowControl w:val="0"/>
        <w:numPr>
          <w:ilvl w:val="3"/>
          <w:numId w:val="8"/>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6B940021"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w:t>
      </w:r>
      <w:r w:rsidR="00652757">
        <w:rPr>
          <w:rFonts w:cs="Calibri"/>
          <w:sz w:val="20"/>
          <w:lang w:eastAsia="pl-PL"/>
        </w:rPr>
        <w:t xml:space="preserve">nie spełnienia warunków udziału </w:t>
      </w:r>
      <w:r w:rsidRPr="001B2459">
        <w:rPr>
          <w:rFonts w:cs="Calibri"/>
          <w:sz w:val="20"/>
          <w:lang w:eastAsia="pl-PL"/>
        </w:rPr>
        <w:t xml:space="preserve">w postępowaniu oraz na potwierdzenie braku podstaw do wykluczenia </w:t>
      </w:r>
      <w:r w:rsidR="00652757">
        <w:rPr>
          <w:rFonts w:cs="Calibri"/>
          <w:sz w:val="20"/>
          <w:lang w:eastAsia="pl-PL"/>
        </w:rPr>
        <w:t xml:space="preserve">         </w:t>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3BA69975"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4227E0">
        <w:rPr>
          <w:rFonts w:cs="Calibri"/>
          <w:sz w:val="20"/>
          <w:lang w:eastAsia="pl-PL"/>
        </w:rPr>
        <w:t xml:space="preserve"> w pkt. 5.1,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63DD683F" w:rsidR="008F38F2" w:rsidRPr="001B2459" w:rsidRDefault="00652757" w:rsidP="004955CB">
      <w:pPr>
        <w:pStyle w:val="Nagwek1"/>
        <w:numPr>
          <w:ilvl w:val="0"/>
          <w:numId w:val="8"/>
        </w:numPr>
      </w:pPr>
      <w:bookmarkStart w:id="19" w:name="_Toc193111782"/>
      <w:r>
        <w:t xml:space="preserve">  </w:t>
      </w:r>
      <w:r w:rsidR="008F38F2" w:rsidRPr="001B2459">
        <w:t>OPIS SPOSOBU PRZYGOTOWANIA OFERTY</w:t>
      </w:r>
      <w:bookmarkEnd w:id="19"/>
    </w:p>
    <w:p w14:paraId="219867C3"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7311ED6F"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5BBCFCC5" w14:textId="7F03A5A8" w:rsidR="00652757" w:rsidRPr="00652757" w:rsidRDefault="00652757" w:rsidP="008F38F2">
      <w:pPr>
        <w:pStyle w:val="Tekstpodstawowy"/>
        <w:numPr>
          <w:ilvl w:val="1"/>
          <w:numId w:val="10"/>
        </w:numPr>
        <w:spacing w:before="120" w:line="24" w:lineRule="atLeast"/>
        <w:ind w:left="567" w:hanging="567"/>
        <w:rPr>
          <w:rFonts w:asciiTheme="minorHAnsi" w:hAnsiTheme="minorHAnsi" w:cs="Calibri"/>
          <w:sz w:val="20"/>
        </w:rPr>
      </w:pPr>
      <w:r w:rsidRPr="00652757">
        <w:rPr>
          <w:rFonts w:asciiTheme="minorHAnsi" w:hAnsiTheme="minorHAnsi" w:cs="Calibri"/>
          <w:b/>
          <w:bCs/>
          <w:sz w:val="20"/>
        </w:rPr>
        <w:t xml:space="preserve">Wykonawca składa Ofertę w postaci elektronicznej za pośrednictwem Systemu Zakupowego. </w:t>
      </w:r>
      <w:r w:rsidRPr="00652757">
        <w:rPr>
          <w:rFonts w:asciiTheme="minorHAnsi" w:hAnsiTheme="minorHAnsi" w:cs="Calibri"/>
          <w:sz w:val="20"/>
        </w:rPr>
        <w:t>Oferta w Systemie Zakupowym musi być złożona z konta Wykonawcy, który składa Ofertę, na wzorach stanowiących Załączniki do SWZ.</w:t>
      </w:r>
    </w:p>
    <w:p w14:paraId="0B8CA7A9" w14:textId="412FA44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471CE95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652757">
        <w:rPr>
          <w:rFonts w:asciiTheme="minorHAnsi" w:hAnsiTheme="minorHAnsi" w:cs="Calibri"/>
          <w:sz w:val="20"/>
        </w:rPr>
        <w:t xml:space="preserve">                      </w:t>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510BDFF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652757">
        <w:rPr>
          <w:rFonts w:asciiTheme="minorHAnsi" w:hAnsiTheme="minorHAnsi" w:cs="Calibri"/>
          <w:sz w:val="20"/>
        </w:rPr>
        <w:t xml:space="preserve">      </w:t>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59D0A56"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14250F">
        <w:rPr>
          <w:rFonts w:cs="Calibri"/>
          <w:bCs/>
          <w:sz w:val="20"/>
        </w:rPr>
        <w:t xml:space="preserve">        </w:t>
      </w:r>
      <w:r w:rsidRPr="001B2459">
        <w:rPr>
          <w:rFonts w:cs="Calibri"/>
          <w:bCs/>
          <w:sz w:val="20"/>
        </w:rPr>
        <w:t>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1B321F4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w:t>
      </w:r>
      <w:r w:rsidRPr="001B2459">
        <w:rPr>
          <w:rFonts w:asciiTheme="minorHAnsi" w:hAnsiTheme="minorHAnsi" w:cs="Calibri"/>
          <w:sz w:val="20"/>
        </w:rPr>
        <w:lastRenderedPageBreak/>
        <w:t xml:space="preserve">„Dokument niejawny (tajemnica przedsiębiorstwa)”, zgodnie z postanowieniami opisanymi </w:t>
      </w:r>
      <w:r w:rsidR="0014250F">
        <w:rPr>
          <w:rFonts w:asciiTheme="minorHAnsi" w:hAnsiTheme="minorHAnsi" w:cs="Calibri"/>
          <w:sz w:val="20"/>
        </w:rPr>
        <w:t xml:space="preserve">   </w:t>
      </w:r>
      <w:r w:rsidRPr="001B2459">
        <w:rPr>
          <w:rFonts w:asciiTheme="minorHAnsi" w:hAnsiTheme="minorHAnsi" w:cs="Calibri"/>
          <w:sz w:val="20"/>
        </w:rPr>
        <w:t>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FD6B19" w:rsidRDefault="008F38F2" w:rsidP="008F38F2">
      <w:pPr>
        <w:pStyle w:val="Tekstpodstawowy"/>
        <w:spacing w:before="120" w:line="24" w:lineRule="atLeast"/>
        <w:ind w:left="567"/>
        <w:rPr>
          <w:rFonts w:asciiTheme="minorHAnsi" w:hAnsiTheme="minorHAnsi" w:cs="Calibri"/>
          <w:b/>
          <w:sz w:val="28"/>
          <w:szCs w:val="28"/>
        </w:rPr>
      </w:pPr>
      <w:r w:rsidRPr="00FD6B19">
        <w:rPr>
          <w:rFonts w:asciiTheme="minorHAnsi" w:hAnsiTheme="minorHAnsi" w:cs="Calibri"/>
          <w:b/>
          <w:sz w:val="28"/>
          <w:szCs w:val="28"/>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500ABA42" w:rsidR="008F38F2" w:rsidRPr="001B2459" w:rsidRDefault="0014250F" w:rsidP="004955CB">
      <w:pPr>
        <w:pStyle w:val="Nagwek1"/>
        <w:numPr>
          <w:ilvl w:val="0"/>
          <w:numId w:val="0"/>
        </w:numPr>
      </w:pPr>
      <w:bookmarkStart w:id="20" w:name="_Toc193111783"/>
      <w:r>
        <w:t>7.</w:t>
      </w:r>
      <w:r w:rsidR="00652757">
        <w:t xml:space="preserve">   </w:t>
      </w:r>
      <w:r>
        <w:t xml:space="preserve"> </w:t>
      </w:r>
      <w:r w:rsidR="008F38F2" w:rsidRPr="001B2459">
        <w:t>WYJAŚNIENIA I MODYFIKACJA OGŁOSZENIA O ZAKUPIE I SWZ</w:t>
      </w:r>
      <w:bookmarkEnd w:id="20"/>
    </w:p>
    <w:p w14:paraId="3BEB3ED8"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bookmarkStart w:id="21" w:name="_Toc193111784"/>
    </w:p>
    <w:p w14:paraId="2A8C372B"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p>
    <w:p w14:paraId="1EF9DDA2" w14:textId="4AD6B936" w:rsidR="008F38F2" w:rsidRPr="001B2459" w:rsidRDefault="008F38F2" w:rsidP="0014250F">
      <w:pPr>
        <w:numPr>
          <w:ilvl w:val="1"/>
          <w:numId w:val="11"/>
        </w:numPr>
        <w:spacing w:before="120" w:after="0" w:line="24" w:lineRule="atLeast"/>
        <w:jc w:val="both"/>
        <w:outlineLvl w:val="0"/>
        <w:rPr>
          <w:rFonts w:cs="Calibri"/>
          <w:sz w:val="20"/>
        </w:rPr>
      </w:pPr>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1"/>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2"/>
    </w:p>
    <w:p w14:paraId="26992A09" w14:textId="73BE9CDD"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6"/>
      <w:r w:rsidRPr="001B2459">
        <w:rPr>
          <w:rFonts w:cs="Calibri"/>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652757">
        <w:rPr>
          <w:rFonts w:cs="Calibri"/>
          <w:sz w:val="20"/>
        </w:rPr>
        <w:t xml:space="preserve">          </w:t>
      </w:r>
      <w:r w:rsidRPr="001B2459">
        <w:rPr>
          <w:rFonts w:cs="Calibri"/>
          <w:sz w:val="20"/>
        </w:rPr>
        <w:t>w punkcie 9 SWZ.</w:t>
      </w:r>
      <w:bookmarkEnd w:id="23"/>
    </w:p>
    <w:p w14:paraId="5CEE6EF7" w14:textId="502F90B3" w:rsidR="008F38F2" w:rsidRPr="001B2459" w:rsidRDefault="008F38F2" w:rsidP="008F38F2">
      <w:pPr>
        <w:numPr>
          <w:ilvl w:val="1"/>
          <w:numId w:val="11"/>
        </w:numPr>
        <w:spacing w:before="120" w:after="120"/>
        <w:jc w:val="both"/>
        <w:outlineLvl w:val="0"/>
        <w:rPr>
          <w:rFonts w:cs="Calibri"/>
          <w:sz w:val="20"/>
        </w:rPr>
      </w:pPr>
      <w:bookmarkStart w:id="24" w:name="_Toc193111787"/>
      <w:r w:rsidRPr="001B2459">
        <w:rPr>
          <w:rFonts w:cs="Calibri"/>
          <w:sz w:val="20"/>
        </w:rPr>
        <w:t xml:space="preserve">Zamawiający może dokonywać w toku postępowania modyfikacji treści SWZ. Informację </w:t>
      </w:r>
      <w:r w:rsidR="00652757">
        <w:rPr>
          <w:rFonts w:cs="Calibri"/>
          <w:sz w:val="20"/>
        </w:rPr>
        <w:t xml:space="preserve">    </w:t>
      </w:r>
      <w:r w:rsidRPr="001B2459">
        <w:rPr>
          <w:rFonts w:cs="Calibri"/>
          <w:sz w:val="20"/>
        </w:rPr>
        <w:t xml:space="preserve">o zmianie Zamawiający przekaże Wykonawcom za pośrednictwem Systemu Zakupowego </w:t>
      </w:r>
      <w:r w:rsidR="00652757">
        <w:rPr>
          <w:rFonts w:cs="Calibri"/>
          <w:sz w:val="20"/>
        </w:rPr>
        <w:t xml:space="preserve">     </w:t>
      </w:r>
      <w:r w:rsidRPr="001B2459">
        <w:rPr>
          <w:rFonts w:cs="Calibri"/>
          <w:sz w:val="20"/>
        </w:rPr>
        <w:t>i będzie ona dla Wykonawców wiążąca.</w:t>
      </w:r>
      <w:bookmarkEnd w:id="24"/>
    </w:p>
    <w:p w14:paraId="4223CF73" w14:textId="6F05381A" w:rsidR="008F38F2" w:rsidRPr="001B2459" w:rsidRDefault="00652757" w:rsidP="004955CB">
      <w:pPr>
        <w:pStyle w:val="Nagwek1"/>
      </w:pPr>
      <w:bookmarkStart w:id="25" w:name="_Toc193111788"/>
      <w:r>
        <w:t xml:space="preserve">  </w:t>
      </w:r>
      <w:r w:rsidR="008F38F2" w:rsidRPr="001B2459">
        <w:t>OPIS SPOSOBU OBLICZANIA CENY</w:t>
      </w:r>
      <w:bookmarkEnd w:id="25"/>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B7009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w:t>
      </w:r>
      <w:r w:rsidR="0014250F">
        <w:rPr>
          <w:rFonts w:asciiTheme="minorHAnsi" w:hAnsiTheme="minorHAnsi" w:cs="Calibri"/>
          <w:sz w:val="20"/>
        </w:rPr>
        <w: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3D763CE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Wykonawca określi cenę za realizację przedmiot</w:t>
      </w:r>
      <w:r w:rsidR="0014250F">
        <w:rPr>
          <w:rFonts w:asciiTheme="minorHAnsi" w:hAnsiTheme="minorHAnsi" w:cs="Calibri"/>
          <w:sz w:val="20"/>
        </w:rPr>
        <w:t xml:space="preserve">u Zamówienia poprzez wskazanie,                     </w:t>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14250F">
        <w:rPr>
          <w:rFonts w:asciiTheme="minorHAnsi" w:hAnsiTheme="minorHAnsi" w:cs="Calibri"/>
          <w:sz w:val="20"/>
        </w:rPr>
        <w:t xml:space="preserve">                                    </w:t>
      </w:r>
      <w:r w:rsidRPr="001B2459">
        <w:rPr>
          <w:rFonts w:asciiTheme="minorHAnsi" w:hAnsiTheme="minorHAnsi" w:cs="Calibri"/>
          <w:sz w:val="20"/>
        </w:rPr>
        <w:t xml:space="preserve">w ustrukturyzowanym formularzu ofertowym Systemu Zakupowego. </w:t>
      </w:r>
    </w:p>
    <w:p w14:paraId="15B67F19" w14:textId="1C3180E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0014250F">
        <w:rPr>
          <w:rFonts w:asciiTheme="minorHAnsi" w:hAnsiTheme="minorHAnsi" w:cs="Calibri"/>
          <w:sz w:val="20"/>
        </w:rPr>
        <w:t xml:space="preserve">. </w:t>
      </w:r>
      <w:r w:rsidRPr="001B2459">
        <w:rPr>
          <w:rFonts w:asciiTheme="minorHAnsi" w:hAnsiTheme="minorHAnsi" w:cs="Calibri"/>
          <w:sz w:val="20"/>
        </w:rPr>
        <w:t xml:space="preserve">W przypadku rozbieżności pomiędzy cenami </w:t>
      </w:r>
      <w:r w:rsidRPr="001B2459">
        <w:rPr>
          <w:rFonts w:asciiTheme="minorHAnsi" w:hAnsiTheme="minorHAnsi" w:cs="Calibri"/>
          <w:sz w:val="20"/>
        </w:rPr>
        <w:lastRenderedPageBreak/>
        <w:t>podanymi w ustrukturyzowany</w:t>
      </w:r>
      <w:r w:rsidR="0014250F">
        <w:rPr>
          <w:rFonts w:asciiTheme="minorHAnsi" w:hAnsiTheme="minorHAnsi" w:cs="Calibri"/>
          <w:sz w:val="20"/>
        </w:rPr>
        <w:t xml:space="preserve">m formularzu Systemu Zakupowego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4BE8DEEE"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14250F">
        <w:rPr>
          <w:rFonts w:cs="Calibri"/>
          <w:sz w:val="20"/>
        </w:rPr>
        <w:t xml:space="preserve">     </w:t>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6844464" w:rsidR="008F38F2" w:rsidRPr="001B2459" w:rsidRDefault="00652757" w:rsidP="004955CB">
      <w:pPr>
        <w:pStyle w:val="Nagwek1"/>
      </w:pPr>
      <w:bookmarkStart w:id="26" w:name="_Toc193111789"/>
      <w:r>
        <w:t xml:space="preserve">  </w:t>
      </w:r>
      <w:r w:rsidR="008F38F2" w:rsidRPr="001B2459">
        <w:t>SPOSÓB POROZUMIEWANIA SIĘ Z WYKONAWCAMI</w:t>
      </w:r>
      <w:bookmarkEnd w:id="26"/>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39D644AE" w:rsidR="00583E5B" w:rsidRPr="001B2459" w:rsidRDefault="00291495" w:rsidP="00A303E8">
      <w:pPr>
        <w:pStyle w:val="Akapitzlist"/>
        <w:numPr>
          <w:ilvl w:val="2"/>
          <w:numId w:val="13"/>
        </w:numPr>
        <w:spacing w:before="120" w:after="0" w:line="24" w:lineRule="atLeast"/>
        <w:ind w:left="1276" w:hanging="709"/>
        <w:jc w:val="both"/>
        <w:rPr>
          <w:rFonts w:cs="Calibri"/>
          <w:b/>
          <w:sz w:val="20"/>
        </w:rPr>
      </w:pPr>
      <w:r>
        <w:rPr>
          <w:rFonts w:cs="Calibri"/>
          <w:b/>
          <w:sz w:val="20"/>
        </w:rPr>
        <w:t>Dariusz Klimacki</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Pr>
          <w:rFonts w:cs="Calibri"/>
          <w:b/>
          <w:sz w:val="20"/>
        </w:rPr>
        <w:t>15 62</w:t>
      </w:r>
      <w:r w:rsidR="0014250F">
        <w:rPr>
          <w:rFonts w:cs="Calibri"/>
          <w:b/>
          <w:sz w:val="20"/>
        </w:rPr>
        <w:t xml:space="preserve">, </w:t>
      </w:r>
      <w:r w:rsidR="00583E5B" w:rsidRPr="001B2459">
        <w:rPr>
          <w:rFonts w:cs="Calibri"/>
          <w:b/>
          <w:sz w:val="20"/>
        </w:rPr>
        <w:t>E</w:t>
      </w:r>
      <w:r w:rsidR="008F38F2" w:rsidRPr="001B2459">
        <w:rPr>
          <w:rFonts w:cs="Calibri"/>
          <w:b/>
          <w:sz w:val="20"/>
        </w:rPr>
        <w:t xml:space="preserve">-mail: </w:t>
      </w:r>
      <w:hyperlink r:id="rId19" w:history="1">
        <w:r w:rsidRPr="004D38E0">
          <w:rPr>
            <w:rStyle w:val="Hipercze"/>
            <w:rFonts w:cs="Calibri"/>
            <w:b/>
          </w:rPr>
          <w:t>Dariusz.Klimacki@pgedystrybucja.pl</w:t>
        </w:r>
      </w:hyperlink>
      <w:r w:rsidR="008F38F2" w:rsidRPr="001B2459">
        <w:rPr>
          <w:rFonts w:cs="Calibri"/>
          <w:b/>
          <w:color w:val="0000FF"/>
          <w:sz w:val="20"/>
          <w:u w:val="single"/>
        </w:rPr>
        <w:t xml:space="preserve"> </w:t>
      </w:r>
    </w:p>
    <w:p w14:paraId="6C3CE198" w14:textId="75E5E864"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291495" w:rsidRPr="004D38E0">
          <w:rPr>
            <w:rStyle w:val="Hipercze"/>
            <w:rFonts w:cs="Calibri"/>
            <w:b/>
          </w:rPr>
          <w:t>Barbara.Stasiak@pgedystrybucja.pl</w:t>
        </w:r>
      </w:hyperlink>
      <w:r w:rsidR="00FD6B19">
        <w:rPr>
          <w:rFonts w:cs="Calibri"/>
          <w:b/>
          <w:sz w:val="20"/>
        </w:rPr>
        <w:t xml:space="preserve">  </w:t>
      </w:r>
      <w:r w:rsidR="00FD6B19" w:rsidRPr="001B2459">
        <w:rPr>
          <w:rFonts w:cs="Calibri"/>
          <w:b/>
          <w:sz w:val="20"/>
        </w:rPr>
        <w:t xml:space="preserve">Telefon: 42 675 </w:t>
      </w:r>
      <w:r w:rsidR="00291495">
        <w:rPr>
          <w:rFonts w:cs="Calibri"/>
          <w:b/>
          <w:sz w:val="20"/>
        </w:rPr>
        <w:t>11 76</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67BC5DD7" w:rsidR="008F38F2" w:rsidRPr="001B2459" w:rsidRDefault="00652757" w:rsidP="004955CB">
      <w:pPr>
        <w:pStyle w:val="Nagwek1"/>
        <w:numPr>
          <w:ilvl w:val="0"/>
          <w:numId w:val="14"/>
        </w:numPr>
      </w:pPr>
      <w:bookmarkStart w:id="27" w:name="_Toc193111790"/>
      <w:r>
        <w:t xml:space="preserve">  </w:t>
      </w:r>
      <w:r w:rsidR="00FC3D28">
        <w:t xml:space="preserve">MIEJSCE ORAZ TERMIN SKŁADANIA </w:t>
      </w:r>
      <w:r w:rsidR="008F38F2" w:rsidRPr="001B2459">
        <w:t>OFERT</w:t>
      </w:r>
      <w:bookmarkEnd w:id="27"/>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A6316D1" w14:textId="5C3175EE" w:rsidR="008F38F2" w:rsidRPr="00DA14D4"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6C64D7">
        <w:rPr>
          <w:rFonts w:cs="Calibri"/>
          <w:b/>
          <w:sz w:val="20"/>
        </w:rPr>
        <w:t>15.12.</w:t>
      </w:r>
      <w:r w:rsidR="00583E5B" w:rsidRPr="00DA14D4">
        <w:rPr>
          <w:rFonts w:cs="Calibri"/>
          <w:b/>
          <w:sz w:val="20"/>
        </w:rPr>
        <w:t>2025</w:t>
      </w:r>
      <w:r w:rsidRPr="00DA14D4">
        <w:rPr>
          <w:rFonts w:cs="Calibri"/>
          <w:b/>
          <w:sz w:val="20"/>
        </w:rPr>
        <w:t xml:space="preserve"> do godz. </w:t>
      </w:r>
      <w:r w:rsidR="00583E5B" w:rsidRPr="00DA14D4">
        <w:rPr>
          <w:rFonts w:cs="Calibri"/>
          <w:b/>
          <w:sz w:val="20"/>
        </w:rPr>
        <w:t>09:00</w:t>
      </w:r>
      <w:r w:rsidR="00583E5B" w:rsidRPr="00DA14D4">
        <w:rPr>
          <w:rFonts w:cs="Calibri"/>
          <w:sz w:val="20"/>
        </w:rPr>
        <w:t>.</w:t>
      </w:r>
      <w:r w:rsidRPr="00DA14D4">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6597AEB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14250F">
        <w:rPr>
          <w:rFonts w:cs="Calibri"/>
          <w:sz w:val="20"/>
        </w:rPr>
        <w:t xml:space="preserve">  </w:t>
      </w:r>
      <w:r w:rsidRPr="001B2459">
        <w:rPr>
          <w:rFonts w:cs="Calibri"/>
          <w:sz w:val="20"/>
        </w:rPr>
        <w:t xml:space="preserve">w Systemie Zakupowym. </w:t>
      </w:r>
    </w:p>
    <w:p w14:paraId="0B39827C"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940494B" w14:textId="5196D0A0" w:rsidR="0014250F" w:rsidRPr="0014250F" w:rsidRDefault="008F38F2" w:rsidP="0014250F">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14250F">
        <w:rPr>
          <w:rFonts w:cs="Calibri"/>
          <w:sz w:val="20"/>
        </w:rPr>
        <w:t xml:space="preserve">  </w:t>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EF17E7A" w14:textId="77777777" w:rsidR="0014250F" w:rsidRPr="0014250F" w:rsidRDefault="0014250F" w:rsidP="0014250F">
      <w:pPr>
        <w:pStyle w:val="Akapitzlist"/>
        <w:shd w:val="clear" w:color="auto" w:fill="FFFFFF" w:themeFill="background1"/>
        <w:spacing w:before="240" w:after="120" w:line="24" w:lineRule="atLeast"/>
        <w:jc w:val="both"/>
        <w:rPr>
          <w:rFonts w:cs="Calibri"/>
          <w:b/>
          <w:bCs/>
          <w:sz w:val="12"/>
        </w:rPr>
      </w:pPr>
    </w:p>
    <w:p w14:paraId="5BD0DD0D" w14:textId="03195951" w:rsidR="008F38F2"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0E65E12B" w14:textId="77777777" w:rsidR="00191583" w:rsidRPr="00191583" w:rsidRDefault="00191583" w:rsidP="00191583">
      <w:pPr>
        <w:pStyle w:val="Akapitzlist"/>
        <w:rPr>
          <w:rFonts w:cs="Calibri"/>
          <w:sz w:val="20"/>
        </w:rPr>
      </w:pPr>
    </w:p>
    <w:p w14:paraId="7E8430FE" w14:textId="45077DA4" w:rsidR="00191583" w:rsidRDefault="00191583" w:rsidP="00191583">
      <w:pPr>
        <w:shd w:val="clear" w:color="auto" w:fill="FFFFFF" w:themeFill="background1"/>
        <w:spacing w:before="240" w:after="120" w:line="24" w:lineRule="atLeast"/>
        <w:jc w:val="both"/>
        <w:rPr>
          <w:rFonts w:cs="Calibri"/>
          <w:sz w:val="20"/>
        </w:rPr>
      </w:pPr>
    </w:p>
    <w:p w14:paraId="4B6BD1B2" w14:textId="181C93AD" w:rsidR="00191583" w:rsidRDefault="00191583" w:rsidP="00191583">
      <w:pPr>
        <w:shd w:val="clear" w:color="auto" w:fill="FFFFFF" w:themeFill="background1"/>
        <w:spacing w:before="240" w:after="120" w:line="24" w:lineRule="atLeast"/>
        <w:jc w:val="both"/>
        <w:rPr>
          <w:rFonts w:cs="Calibri"/>
          <w:sz w:val="20"/>
        </w:rPr>
      </w:pPr>
    </w:p>
    <w:p w14:paraId="1B5A1005" w14:textId="77777777" w:rsidR="00191583" w:rsidRPr="00191583" w:rsidRDefault="00191583" w:rsidP="00191583">
      <w:pPr>
        <w:shd w:val="clear" w:color="auto" w:fill="FFFFFF" w:themeFill="background1"/>
        <w:spacing w:before="240" w:after="120" w:line="24" w:lineRule="atLeast"/>
        <w:jc w:val="both"/>
        <w:rPr>
          <w:rFonts w:cs="Calibri"/>
          <w:sz w:val="20"/>
        </w:rPr>
      </w:pPr>
    </w:p>
    <w:p w14:paraId="76BD2ECF" w14:textId="362E674C" w:rsidR="008F38F2" w:rsidRPr="001B2459" w:rsidRDefault="00652757" w:rsidP="004955CB">
      <w:pPr>
        <w:pStyle w:val="Nagwek1"/>
        <w:numPr>
          <w:ilvl w:val="0"/>
          <w:numId w:val="40"/>
        </w:numPr>
      </w:pPr>
      <w:bookmarkStart w:id="28" w:name="_Toc193111791"/>
      <w:r>
        <w:lastRenderedPageBreak/>
        <w:t xml:space="preserve">  </w:t>
      </w:r>
      <w:r w:rsidR="008F38F2" w:rsidRPr="001B2459">
        <w:t>TERMIN ZWIĄZANIA OFERTĄ</w:t>
      </w:r>
      <w:bookmarkEnd w:id="28"/>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4A054A2C" w14:textId="6E080150" w:rsidR="0014250F" w:rsidRDefault="00652757" w:rsidP="004955CB">
      <w:pPr>
        <w:pStyle w:val="Nagwek1"/>
      </w:pPr>
      <w:bookmarkStart w:id="29" w:name="_Toc193111792"/>
      <w:r>
        <w:t xml:space="preserve">  </w:t>
      </w:r>
      <w:r w:rsidR="008F38F2" w:rsidRPr="001B2459">
        <w:t>INFORMACJE DOTYCZĄCE OCENY OFERT</w:t>
      </w:r>
      <w:bookmarkEnd w:id="29"/>
      <w:r w:rsidR="008F38F2" w:rsidRPr="001B2459">
        <w:t xml:space="preserve"> </w:t>
      </w:r>
    </w:p>
    <w:p w14:paraId="442742E3" w14:textId="77777777" w:rsidR="0014250F" w:rsidRPr="0014250F" w:rsidRDefault="0014250F" w:rsidP="0014250F">
      <w:pPr>
        <w:pStyle w:val="Nagwek2"/>
        <w:numPr>
          <w:ilvl w:val="0"/>
          <w:numId w:val="0"/>
        </w:numPr>
        <w:spacing w:before="0" w:after="0"/>
        <w:ind w:left="576"/>
        <w:rPr>
          <w:sz w:val="14"/>
        </w:rPr>
      </w:pPr>
    </w:p>
    <w:p w14:paraId="615EE57A"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72461A76"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3BFF4FEA" w14:textId="54FEA59A" w:rsidR="0014250F" w:rsidRDefault="008F38F2" w:rsidP="0014250F">
      <w:pPr>
        <w:pStyle w:val="Akapitzlist"/>
        <w:numPr>
          <w:ilvl w:val="1"/>
          <w:numId w:val="32"/>
        </w:numPr>
        <w:spacing w:before="120" w:after="120" w:line="24" w:lineRule="atLeast"/>
        <w:jc w:val="both"/>
        <w:rPr>
          <w:rFonts w:cs="Calibri"/>
          <w:sz w:val="20"/>
        </w:rPr>
      </w:pPr>
      <w:r w:rsidRPr="00526190">
        <w:rPr>
          <w:rFonts w:cs="Calibri"/>
          <w:sz w:val="20"/>
        </w:rPr>
        <w:t xml:space="preserve">Z zastrzeżeniem postanowień pkt. 1.3.6. oraz 1.3.7 SWZ, Zamawiający uzna za najkorzystniejszą Ofertę, która nie podlega odrzuceniu i zawiera najniższą cenę - kryterium oceny ofert: </w:t>
      </w:r>
      <w:r w:rsidRPr="00526190">
        <w:rPr>
          <w:rFonts w:cs="Calibri"/>
          <w:sz w:val="20"/>
          <w:u w:val="single"/>
        </w:rPr>
        <w:t>cena netto (waga 100%)</w:t>
      </w:r>
      <w:r w:rsidRPr="00526190">
        <w:rPr>
          <w:rFonts w:cs="Calibri"/>
          <w:sz w:val="20"/>
        </w:rPr>
        <w:t>.</w:t>
      </w:r>
    </w:p>
    <w:p w14:paraId="4823F078" w14:textId="77777777" w:rsidR="0014250F" w:rsidRPr="0014250F" w:rsidRDefault="0014250F" w:rsidP="0014250F">
      <w:pPr>
        <w:pStyle w:val="Akapitzlist"/>
        <w:spacing w:before="120" w:after="120" w:line="24" w:lineRule="atLeast"/>
        <w:jc w:val="both"/>
        <w:rPr>
          <w:rFonts w:cs="Calibri"/>
          <w:sz w:val="12"/>
        </w:rPr>
      </w:pPr>
    </w:p>
    <w:p w14:paraId="15D73521" w14:textId="65AC258B" w:rsidR="008F38F2" w:rsidRPr="00526190" w:rsidRDefault="008F38F2" w:rsidP="00526190">
      <w:pPr>
        <w:pStyle w:val="Akapitzlist"/>
        <w:numPr>
          <w:ilvl w:val="1"/>
          <w:numId w:val="32"/>
        </w:numPr>
        <w:spacing w:before="120" w:after="120" w:line="24" w:lineRule="atLeast"/>
        <w:jc w:val="both"/>
        <w:rPr>
          <w:rFonts w:cs="Calibri"/>
          <w:sz w:val="20"/>
        </w:rPr>
      </w:pPr>
      <w:r w:rsidRPr="00526190">
        <w:rPr>
          <w:rFonts w:cs="Calibri"/>
          <w:sz w:val="20"/>
        </w:rPr>
        <w:t>W toku badania i oceny Ofert Zamawiający może żądać od Wykonawców wyjaśnień dotyczących treści złożonych Ofert.</w:t>
      </w:r>
    </w:p>
    <w:p w14:paraId="7C1DE3C3" w14:textId="1A5F761D" w:rsidR="008F38F2" w:rsidRDefault="00652757" w:rsidP="004955CB">
      <w:pPr>
        <w:pStyle w:val="Nagwek1"/>
      </w:pPr>
      <w:bookmarkStart w:id="30" w:name="_Toc193111793"/>
      <w:r>
        <w:t xml:space="preserve">   </w:t>
      </w:r>
      <w:r w:rsidR="008F38F2" w:rsidRPr="001B2459">
        <w:t>ZABEZPIECZENIE NALEŻYTEGO WYKONANIA UMOWY</w:t>
      </w:r>
      <w:bookmarkEnd w:id="30"/>
    </w:p>
    <w:p w14:paraId="5B42E690" w14:textId="77777777" w:rsidR="0014250F" w:rsidRPr="00191583" w:rsidRDefault="0014250F" w:rsidP="0014250F">
      <w:pPr>
        <w:pStyle w:val="Nagwek2"/>
        <w:numPr>
          <w:ilvl w:val="0"/>
          <w:numId w:val="0"/>
        </w:numPr>
        <w:spacing w:before="0" w:after="0"/>
        <w:ind w:left="576"/>
        <w:rPr>
          <w:color w:val="auto"/>
          <w:sz w:val="12"/>
        </w:rPr>
      </w:pPr>
    </w:p>
    <w:p w14:paraId="4F1537BF"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AD5ACF3"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428E30B" w14:textId="38AC4D0B" w:rsidR="008F38F2" w:rsidRPr="00191583" w:rsidRDefault="00191583" w:rsidP="00191583">
      <w:pPr>
        <w:pStyle w:val="Akapitzlist"/>
        <w:numPr>
          <w:ilvl w:val="1"/>
          <w:numId w:val="33"/>
        </w:numPr>
        <w:spacing w:before="120" w:after="120" w:line="24" w:lineRule="atLeast"/>
        <w:jc w:val="both"/>
        <w:rPr>
          <w:rFonts w:cs="Calibri"/>
          <w:sz w:val="20"/>
        </w:rPr>
      </w:pPr>
      <w:r w:rsidRPr="00191583">
        <w:rPr>
          <w:rFonts w:cs="Calibri"/>
          <w:sz w:val="20"/>
        </w:rPr>
        <w:t xml:space="preserve">Zamawiający </w:t>
      </w:r>
      <w:r w:rsidRPr="00191583">
        <w:rPr>
          <w:rFonts w:cs="Calibri"/>
          <w:b/>
          <w:sz w:val="20"/>
        </w:rPr>
        <w:t>nie wymaga</w:t>
      </w:r>
      <w:r w:rsidRPr="00191583">
        <w:rPr>
          <w:rFonts w:cs="Calibri"/>
          <w:sz w:val="20"/>
        </w:rPr>
        <w:t xml:space="preserve"> wniesienia zabezpieczenia należytego wykonania zamówienia. </w:t>
      </w:r>
    </w:p>
    <w:p w14:paraId="0F9B02D4" w14:textId="5E65B0A3" w:rsidR="008F38F2" w:rsidRDefault="008F38F2" w:rsidP="004955CB">
      <w:pPr>
        <w:pStyle w:val="Nagwek1"/>
        <w:numPr>
          <w:ilvl w:val="0"/>
          <w:numId w:val="22"/>
        </w:numPr>
      </w:pPr>
      <w:bookmarkStart w:id="31" w:name="_Toc193111794"/>
      <w:r w:rsidRPr="00526190">
        <w:t>INFORMACJE</w:t>
      </w:r>
      <w:r w:rsidRPr="001B2459">
        <w:t xml:space="preserve"> DOTYCZĄCE ZAWARCIA UMOWY</w:t>
      </w:r>
      <w:bookmarkEnd w:id="31"/>
    </w:p>
    <w:p w14:paraId="6BD1D1DF" w14:textId="77777777" w:rsidR="00E00ED5" w:rsidRPr="00E00ED5" w:rsidRDefault="00E00ED5" w:rsidP="00E00ED5">
      <w:pPr>
        <w:pStyle w:val="Nagwek2"/>
        <w:numPr>
          <w:ilvl w:val="0"/>
          <w:numId w:val="0"/>
        </w:numPr>
        <w:spacing w:before="0" w:after="0"/>
        <w:ind w:left="576" w:hanging="576"/>
        <w:rPr>
          <w:sz w:val="12"/>
        </w:rPr>
      </w:pPr>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6337BD70" w:rsidR="00F04543" w:rsidRPr="00526190" w:rsidRDefault="00F04543" w:rsidP="00526190">
      <w:pPr>
        <w:spacing w:after="0"/>
        <w:jc w:val="both"/>
        <w:rPr>
          <w:rFonts w:cs="Calibri"/>
          <w:sz w:val="10"/>
        </w:rPr>
      </w:pPr>
    </w:p>
    <w:p w14:paraId="4CA91BDB" w14:textId="77777777" w:rsidR="008F38F2" w:rsidRPr="001B2459" w:rsidRDefault="008F38F2" w:rsidP="004955CB">
      <w:pPr>
        <w:pStyle w:val="Nagwek1"/>
        <w:numPr>
          <w:ilvl w:val="0"/>
          <w:numId w:val="22"/>
        </w:numPr>
      </w:pPr>
      <w:bookmarkStart w:id="32" w:name="_Toc193111795"/>
      <w:r w:rsidRPr="001B2459">
        <w:t>DODATKOWE INFORMACJE</w:t>
      </w:r>
      <w:bookmarkEnd w:id="32"/>
    </w:p>
    <w:p w14:paraId="5397E317" w14:textId="77777777" w:rsidR="00526190" w:rsidRDefault="008F38F2" w:rsidP="00526190">
      <w:pPr>
        <w:pStyle w:val="Akapitzlist"/>
        <w:numPr>
          <w:ilvl w:val="1"/>
          <w:numId w:val="22"/>
        </w:numPr>
        <w:spacing w:before="120" w:after="120" w:line="24" w:lineRule="atLeast"/>
        <w:jc w:val="both"/>
        <w:rPr>
          <w:rFonts w:cs="Calibri"/>
          <w:sz w:val="20"/>
        </w:rPr>
      </w:pPr>
      <w:r w:rsidRPr="001B2459">
        <w:rPr>
          <w:rFonts w:cs="Calibri"/>
          <w:sz w:val="20"/>
        </w:rPr>
        <w:t xml:space="preserve">Wybór oferty najkorzystniejszej nie oznacza </w:t>
      </w:r>
      <w:r w:rsidR="00526190">
        <w:rPr>
          <w:rFonts w:cs="Calibri"/>
          <w:sz w:val="20"/>
        </w:rPr>
        <w:t xml:space="preserve">zaciągnięcia zobowiązania przez    </w:t>
      </w:r>
    </w:p>
    <w:p w14:paraId="0E9E8ABC" w14:textId="4A7A359F" w:rsidR="008F38F2" w:rsidRPr="00526190" w:rsidRDefault="00526190" w:rsidP="00526190">
      <w:pPr>
        <w:pStyle w:val="Akapitzlist"/>
        <w:spacing w:before="120" w:after="120" w:line="24" w:lineRule="atLeast"/>
        <w:ind w:left="435"/>
        <w:jc w:val="both"/>
        <w:rPr>
          <w:rFonts w:cs="Calibri"/>
          <w:sz w:val="20"/>
        </w:rPr>
      </w:pPr>
      <w:r>
        <w:rPr>
          <w:rFonts w:cs="Calibri"/>
          <w:sz w:val="20"/>
        </w:rPr>
        <w:t xml:space="preserve">    </w:t>
      </w:r>
      <w:r w:rsidR="008F38F2" w:rsidRPr="00526190">
        <w:rPr>
          <w:rFonts w:cs="Calibri"/>
          <w:sz w:val="20"/>
        </w:rPr>
        <w:t>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6DEBF1FF"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zastrzega sobie prawo unieważnienia postępowania, w tym również po wyborze najkorzystniejszej Oferty,  bez podania przyczyny. Zamawiający nie ponosi żadnej odpowiedzia</w:t>
      </w:r>
      <w:r w:rsidR="00E00ED5">
        <w:rPr>
          <w:rFonts w:cs="Calibri"/>
          <w:sz w:val="20"/>
        </w:rPr>
        <w:t xml:space="preserve">lności w stosunku do Wykonawcy,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58A7D7E8"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E00ED5">
        <w:rPr>
          <w:rFonts w:cs="Calibri"/>
          <w:sz w:val="20"/>
        </w:rPr>
        <w:t xml:space="preserve"> w wyznaczonym terminie ankiety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BE79997" w:rsidR="008F38F2" w:rsidRDefault="00526190" w:rsidP="004955CB">
      <w:pPr>
        <w:pStyle w:val="Nagwek1"/>
        <w:numPr>
          <w:ilvl w:val="0"/>
          <w:numId w:val="38"/>
        </w:numPr>
      </w:pPr>
      <w:bookmarkStart w:id="33" w:name="_Toc193111796"/>
      <w:r>
        <w:t xml:space="preserve">  </w:t>
      </w:r>
      <w:r w:rsidR="008F38F2" w:rsidRPr="001B2459">
        <w:t>AUKCJA ELEKTRONICZNA/NEGOCJACJE HANDLOWE</w:t>
      </w:r>
      <w:bookmarkEnd w:id="33"/>
    </w:p>
    <w:p w14:paraId="7EFC207A" w14:textId="77777777" w:rsidR="00E00ED5" w:rsidRPr="00E00ED5" w:rsidRDefault="00E00ED5" w:rsidP="00E00ED5">
      <w:pPr>
        <w:pStyle w:val="Nagwek2"/>
        <w:numPr>
          <w:ilvl w:val="0"/>
          <w:numId w:val="0"/>
        </w:numPr>
        <w:spacing w:before="0" w:after="0"/>
        <w:ind w:left="576"/>
        <w:rPr>
          <w:sz w:val="12"/>
        </w:rPr>
      </w:pPr>
    </w:p>
    <w:p w14:paraId="334F886D" w14:textId="035138AB" w:rsidR="008F38F2" w:rsidRPr="001B2459"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przewiduje</w:t>
      </w:r>
      <w:r w:rsidRPr="001B2459">
        <w:rPr>
          <w:rFonts w:asciiTheme="minorHAnsi" w:hAnsiTheme="minorHAnsi" w:cs="Calibri"/>
          <w:sz w:val="20"/>
        </w:rPr>
        <w:t xml:space="preserve"> dokonanie wyboru najkorzystniejszej Oferty z zastosowaniem </w:t>
      </w:r>
      <w:r w:rsidRPr="00E00ED5">
        <w:rPr>
          <w:rFonts w:asciiTheme="minorHAnsi" w:hAnsiTheme="minorHAnsi" w:cs="Calibri"/>
          <w:b/>
          <w:sz w:val="20"/>
          <w:u w:val="single"/>
        </w:rPr>
        <w:t>negocjac</w:t>
      </w:r>
      <w:r w:rsidR="00E00ED5" w:rsidRPr="00E00ED5">
        <w:rPr>
          <w:rFonts w:asciiTheme="minorHAnsi" w:hAnsiTheme="minorHAnsi" w:cs="Calibri"/>
          <w:b/>
          <w:sz w:val="20"/>
          <w:u w:val="single"/>
        </w:rPr>
        <w:t>ji handlowych</w:t>
      </w:r>
      <w:r w:rsidRPr="001B2459">
        <w:rPr>
          <w:rFonts w:asciiTheme="minorHAnsi" w:hAnsiTheme="minorHAnsi" w:cs="Calibri"/>
          <w:sz w:val="20"/>
        </w:rPr>
        <w:t>, zgodnie z pkt. 9.6.3 – 9.6.6 Procedury Zakupów.</w:t>
      </w:r>
    </w:p>
    <w:p w14:paraId="3AC07A1A" w14:textId="77777777" w:rsidR="00F04543" w:rsidRPr="001B2459" w:rsidRDefault="00F04543" w:rsidP="00F04543">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605128F5" w14:textId="76323ED5" w:rsidR="00F04543" w:rsidRPr="00E00ED5" w:rsidRDefault="008F38F2" w:rsidP="00F04543">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nie przewiduje</w:t>
      </w:r>
      <w:r w:rsidRPr="001B2459">
        <w:rPr>
          <w:rFonts w:asciiTheme="minorHAnsi" w:hAnsiTheme="minorHAnsi" w:cs="Calibri"/>
          <w:sz w:val="20"/>
        </w:rPr>
        <w:t xml:space="preserve"> dokonanie wyboru najkorzystniejszej Oferty z zastosowaniem aukcji elektroniczn</w:t>
      </w:r>
      <w:r w:rsidR="00E00ED5">
        <w:rPr>
          <w:rFonts w:asciiTheme="minorHAnsi" w:hAnsiTheme="minorHAnsi" w:cs="Calibri"/>
          <w:sz w:val="20"/>
        </w:rPr>
        <w:t>ej.</w:t>
      </w:r>
    </w:p>
    <w:p w14:paraId="616039C1" w14:textId="5D61519C" w:rsidR="008F38F2" w:rsidRPr="001B2459" w:rsidRDefault="00526190" w:rsidP="004955CB">
      <w:pPr>
        <w:pStyle w:val="Nagwek1"/>
      </w:pPr>
      <w:bookmarkStart w:id="34" w:name="_Toc193111797"/>
      <w:r>
        <w:t xml:space="preserve">  </w:t>
      </w:r>
      <w:r w:rsidR="008F38F2" w:rsidRPr="001B2459">
        <w:t>SYSTEM ZAKUPOWY</w:t>
      </w:r>
      <w:bookmarkEnd w:id="34"/>
      <w:r w:rsidR="008F38F2" w:rsidRPr="001B2459">
        <w:t xml:space="preserve"> </w:t>
      </w:r>
    </w:p>
    <w:p w14:paraId="4394994C" w14:textId="47F4253B" w:rsidR="008F38F2" w:rsidRPr="001B2459"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Zamawiający informuje, że postępowanie zakupowe będzie prowadzone z wykorzystaniem Systemu Zakupowego.</w:t>
      </w:r>
    </w:p>
    <w:p w14:paraId="7C45259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63CBF01F" w14:textId="69444990"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Składanie ofert w Postępowaniach zakupowych wymaga posiadania konta w Systemie Zakupowym. Rejestracja konta i logowanie dostępne są pod adresem </w:t>
      </w:r>
      <w:r w:rsidRPr="00153228">
        <w:rPr>
          <w:rFonts w:cs="Calibri"/>
          <w:b/>
          <w:bCs/>
          <w:sz w:val="20"/>
        </w:rPr>
        <w:t>https://swpp2.gkpge.pl</w:t>
      </w:r>
      <w:r w:rsidRPr="00153228">
        <w:rPr>
          <w:rFonts w:cs="Calibri"/>
          <w:bCs/>
          <w:sz w:val="20"/>
        </w:rPr>
        <w:t xml:space="preserve">. Zainteresowanych udziałem w Postępowaniu </w:t>
      </w:r>
      <w:r>
        <w:rPr>
          <w:rFonts w:cs="Calibri"/>
          <w:bCs/>
          <w:sz w:val="20"/>
        </w:rPr>
        <w:t xml:space="preserve">zakupowym prosimy </w:t>
      </w:r>
      <w:r w:rsidRPr="00153228">
        <w:rPr>
          <w:rFonts w:cs="Calibri"/>
          <w:bCs/>
          <w:sz w:val="20"/>
        </w:rPr>
        <w:t xml:space="preserve">o dokonanie rejestracji </w:t>
      </w:r>
      <w:r w:rsidRPr="00153228">
        <w:rPr>
          <w:rFonts w:cs="Calibri"/>
          <w:b/>
          <w:bCs/>
          <w:sz w:val="20"/>
          <w:u w:val="single"/>
        </w:rPr>
        <w:t>bez zbędnej zwłoki, ponieważ proces weryfikacji Wykonawcy może potrwać do 3 dni roboczych</w:t>
      </w:r>
      <w:r w:rsidRPr="00153228">
        <w:rPr>
          <w:rFonts w:cs="Calibri"/>
          <w:bCs/>
          <w:sz w:val="20"/>
        </w:rPr>
        <w:t>.</w:t>
      </w:r>
      <w:r w:rsidR="008F38F2" w:rsidRPr="001B2459">
        <w:rPr>
          <w:rFonts w:cs="Calibri"/>
          <w:b/>
          <w:bCs/>
          <w:sz w:val="20"/>
        </w:rPr>
        <w:t xml:space="preserve"> </w:t>
      </w:r>
    </w:p>
    <w:p w14:paraId="6E657A1C"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F64F291" w14:textId="4D8BB0A1" w:rsidR="00F04543" w:rsidRPr="00153228"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Wszelkie informacje dotyczące </w:t>
      </w:r>
      <w:r>
        <w:rPr>
          <w:rFonts w:cs="Calibri"/>
          <w:bCs/>
          <w:sz w:val="20"/>
        </w:rPr>
        <w:t xml:space="preserve">sposobu rejestracji i logowania </w:t>
      </w:r>
      <w:r w:rsidRPr="00153228">
        <w:rPr>
          <w:rFonts w:cs="Calibri"/>
          <w:bCs/>
          <w:sz w:val="20"/>
        </w:rPr>
        <w:t>do Systemu Zakupowego znajdują się pod wyżej wskazanym adresem internetowym w zakła</w:t>
      </w:r>
      <w:r>
        <w:rPr>
          <w:rFonts w:cs="Calibri"/>
          <w:bCs/>
          <w:sz w:val="20"/>
        </w:rPr>
        <w:t xml:space="preserve">dce „Pytania                         i odpowiedzi/FAQ”, </w:t>
      </w:r>
      <w:r w:rsidRPr="00153228">
        <w:rPr>
          <w:rFonts w:cs="Calibri"/>
          <w:bCs/>
          <w:sz w:val="20"/>
        </w:rPr>
        <w:t>oraz w zakładce „Dokumenty Regulacje i Poradniki oraz inne inf</w:t>
      </w:r>
      <w:r>
        <w:rPr>
          <w:rFonts w:cs="Calibri"/>
          <w:bCs/>
          <w:sz w:val="20"/>
        </w:rPr>
        <w:t xml:space="preserve">ormacje (ogłoszenia okresowe)”, a także pod linkiem: </w:t>
      </w:r>
      <w:r w:rsidRPr="00153228">
        <w:rPr>
          <w:rFonts w:cs="Calibri"/>
          <w:b/>
          <w:bCs/>
          <w:sz w:val="20"/>
        </w:rPr>
        <w:t>https://swpp2.gkpge.pl/servlet/HomeServlet?MP_action=repositoryList&amp;folder=000c&amp;MP_module=intranetRepository</w:t>
      </w:r>
      <w:r w:rsidRPr="00153228">
        <w:rPr>
          <w:rFonts w:cs="Calibri"/>
          <w:bCs/>
          <w:sz w:val="20"/>
        </w:rPr>
        <w:t xml:space="preserve"> w dokumencie „Szczegółowa instrukcja korzystania z Systemu Zakupowego dla Wykonawców”.</w:t>
      </w:r>
    </w:p>
    <w:p w14:paraId="6B34F8BB"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2F36CCD" w14:textId="2CF31763" w:rsidR="00F04543"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10"/>
        </w:rPr>
      </w:pPr>
      <w:r w:rsidRPr="00153228">
        <w:rPr>
          <w:rFonts w:cs="Calibri"/>
          <w:bCs/>
          <w:sz w:val="20"/>
        </w:rPr>
        <w:t>Po zarejestrowaniu i zalogowaniu się do Systemu Zakupowego Wykonawcy uzyskują możl</w:t>
      </w:r>
      <w:r>
        <w:rPr>
          <w:rFonts w:cs="Calibri"/>
          <w:bCs/>
          <w:sz w:val="20"/>
        </w:rPr>
        <w:t xml:space="preserve">iwość składania wniosków, Ofert </w:t>
      </w:r>
      <w:r w:rsidRPr="00153228">
        <w:rPr>
          <w:rFonts w:cs="Calibri"/>
          <w:bCs/>
          <w:sz w:val="20"/>
        </w:rPr>
        <w:t>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w:t>
      </w:r>
      <w:r w:rsidRPr="001B2459">
        <w:rPr>
          <w:rFonts w:cs="Calibri"/>
          <w:sz w:val="10"/>
        </w:rPr>
        <w:t xml:space="preserve"> </w:t>
      </w:r>
    </w:p>
    <w:p w14:paraId="26FD0D52" w14:textId="77777777" w:rsidR="00153228" w:rsidRPr="00153228" w:rsidRDefault="00153228" w:rsidP="00153228">
      <w:pPr>
        <w:pStyle w:val="Akapitzlist"/>
        <w:rPr>
          <w:rFonts w:cs="Calibri"/>
          <w:sz w:val="10"/>
        </w:rPr>
      </w:pPr>
    </w:p>
    <w:p w14:paraId="04D50A3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
        </w:rPr>
      </w:pPr>
    </w:p>
    <w:p w14:paraId="0AE9CEEF" w14:textId="396DF441"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Za datę złożenia Oferty, wniosków, zawiadomienia, dokumentu elektronicznego, oświadczenia lub elektronicznej kopii dokumentu lub oświadczenia przyjmuje </w:t>
      </w:r>
      <w:r>
        <w:rPr>
          <w:rFonts w:cs="Calibri"/>
          <w:bCs/>
          <w:sz w:val="20"/>
        </w:rPr>
        <w:t xml:space="preserve">się datę przekazania (złożenia) </w:t>
      </w:r>
      <w:r w:rsidRPr="00153228">
        <w:rPr>
          <w:rFonts w:cs="Calibri"/>
          <w:bCs/>
          <w:sz w:val="20"/>
        </w:rPr>
        <w:t xml:space="preserve">w Systemie Zakupowym do Zamawiającego. Moment złożenia </w:t>
      </w:r>
      <w:r w:rsidRPr="00153228">
        <w:rPr>
          <w:rFonts w:cs="Calibri"/>
          <w:bCs/>
          <w:sz w:val="20"/>
        </w:rPr>
        <w:lastRenderedPageBreak/>
        <w:t xml:space="preserve">Oferty/wniosku/informacji następuje wraz z zakończeniem procesu składania tj. kliknięciu na przycisk „Złóż wniosek/Ofertę”, elektronicznym podpisaniu formularza wniosku/oferty </w:t>
      </w:r>
      <w:r>
        <w:rPr>
          <w:rFonts w:cs="Calibri"/>
          <w:bCs/>
          <w:sz w:val="20"/>
        </w:rPr>
        <w:t xml:space="preserve">      </w:t>
      </w:r>
      <w:r w:rsidRPr="00153228">
        <w:rPr>
          <w:rFonts w:cs="Calibri"/>
          <w:bCs/>
          <w:sz w:val="20"/>
        </w:rPr>
        <w:t xml:space="preserve">i wyświetleniu przez system komunikatu „Oferta złożona poprawnie”. Dokładną datę </w:t>
      </w:r>
      <w:r>
        <w:rPr>
          <w:rFonts w:cs="Calibri"/>
          <w:bCs/>
          <w:sz w:val="20"/>
        </w:rPr>
        <w:t xml:space="preserve">               </w:t>
      </w:r>
      <w:r w:rsidRPr="00153228">
        <w:rPr>
          <w:rFonts w:cs="Calibri"/>
          <w:bCs/>
          <w:sz w:val="20"/>
        </w:rPr>
        <w:t>i godzinę złożenia Wniosku, Oferty można sprawdzić po wygenerowaniu raportu ze złożonego Wniosku, Oferty. W tym celu należy w sekcji „Akcje” wybrać opcje „Wygeneruj raport”.</w:t>
      </w:r>
    </w:p>
    <w:p w14:paraId="27A9F757"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5A0D6420" w14:textId="2E590A84" w:rsidR="00F04543" w:rsidRPr="001B2459"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3BDA4CF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7276B23" w14:textId="19147A0E" w:rsidR="00500F37" w:rsidRPr="00500F37" w:rsidRDefault="00B66EC2" w:rsidP="00500F37">
      <w:pPr>
        <w:pStyle w:val="Akapitzlist"/>
        <w:numPr>
          <w:ilvl w:val="1"/>
          <w:numId w:val="23"/>
        </w:numPr>
        <w:shd w:val="clear" w:color="auto" w:fill="FFFFFF" w:themeFill="background1"/>
        <w:tabs>
          <w:tab w:val="left" w:pos="851"/>
        </w:tabs>
        <w:suppressAutoHyphens/>
        <w:spacing w:before="120" w:after="120"/>
        <w:ind w:left="709" w:hanging="709"/>
        <w:rPr>
          <w:rFonts w:cs="Calibri"/>
          <w:sz w:val="20"/>
        </w:rPr>
      </w:pPr>
      <w:r w:rsidRPr="00B66EC2">
        <w:rPr>
          <w:rFonts w:cs="Calibri"/>
          <w:bCs/>
          <w:sz w:val="20"/>
        </w:rP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20ABCBEC" w14:textId="77777777" w:rsidR="00500F37" w:rsidRPr="00500F37" w:rsidRDefault="00500F37" w:rsidP="00500F37">
      <w:pPr>
        <w:pStyle w:val="Akapitzlist"/>
        <w:shd w:val="clear" w:color="auto" w:fill="FFFFFF" w:themeFill="background1"/>
        <w:tabs>
          <w:tab w:val="left" w:pos="851"/>
        </w:tabs>
        <w:suppressAutoHyphens/>
        <w:spacing w:before="120" w:after="120"/>
        <w:ind w:left="709"/>
        <w:rPr>
          <w:rFonts w:cs="Calibri"/>
          <w:sz w:val="8"/>
        </w:rPr>
      </w:pPr>
    </w:p>
    <w:p w14:paraId="2FA8BEF4" w14:textId="76EFD153" w:rsidR="00F04543" w:rsidRPr="001B2459" w:rsidRDefault="00E54385"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E54385">
          <w:rPr>
            <w:rStyle w:val="Hipercze"/>
            <w:rFonts w:cs="Calibri"/>
            <w:bCs/>
          </w:rPr>
          <w:t>https://pgedystrybucja.pl/przetargi</w:t>
        </w:r>
      </w:hyperlink>
      <w:r w:rsidRPr="00E54385">
        <w:rPr>
          <w:rFonts w:cs="Calibri"/>
          <w:bCs/>
          <w:sz w:val="20"/>
        </w:rPr>
        <w:t>.</w:t>
      </w:r>
    </w:p>
    <w:p w14:paraId="454FE1FE"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3975734" w14:textId="21BC9F57"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Maksymalny rozmiar plikó</w:t>
      </w:r>
      <w:r>
        <w:rPr>
          <w:rFonts w:cs="Calibri"/>
          <w:bCs/>
          <w:sz w:val="20"/>
        </w:rPr>
        <w:t xml:space="preserve">w przesyłanych (zamieszczanych) </w:t>
      </w:r>
      <w:r w:rsidRPr="00153228">
        <w:rPr>
          <w:rFonts w:cs="Calibri"/>
          <w:bCs/>
          <w:sz w:val="20"/>
        </w:rPr>
        <w:t>za pośrednictwem Systemu Zakupowego wynosi 150 MB. Zamawiający określił dopuszczal</w:t>
      </w:r>
      <w:r>
        <w:rPr>
          <w:rFonts w:cs="Calibri"/>
          <w:bCs/>
          <w:sz w:val="20"/>
        </w:rPr>
        <w:t xml:space="preserve">ny format plików zamieszczanych </w:t>
      </w:r>
      <w:r w:rsidRPr="00153228">
        <w:rPr>
          <w:rFonts w:cs="Calibri"/>
          <w:bCs/>
          <w:sz w:val="20"/>
        </w:rPr>
        <w:t xml:space="preserve">w Systemie jako: xls, </w:t>
      </w:r>
      <w:proofErr w:type="spellStart"/>
      <w:r w:rsidRPr="00153228">
        <w:rPr>
          <w:rFonts w:cs="Calibri"/>
          <w:bCs/>
          <w:sz w:val="20"/>
        </w:rPr>
        <w:t>xlsx</w:t>
      </w:r>
      <w:proofErr w:type="spellEnd"/>
      <w:r w:rsidRPr="00153228">
        <w:rPr>
          <w:rFonts w:cs="Calibri"/>
          <w:bCs/>
          <w:sz w:val="20"/>
        </w:rPr>
        <w:t xml:space="preserve">, </w:t>
      </w:r>
      <w:proofErr w:type="spellStart"/>
      <w:r w:rsidRPr="00153228">
        <w:rPr>
          <w:rFonts w:cs="Calibri"/>
          <w:bCs/>
          <w:sz w:val="20"/>
        </w:rPr>
        <w:t>doc</w:t>
      </w:r>
      <w:proofErr w:type="spellEnd"/>
      <w:r w:rsidRPr="00153228">
        <w:rPr>
          <w:rFonts w:cs="Calibri"/>
          <w:bCs/>
          <w:sz w:val="20"/>
        </w:rPr>
        <w:t xml:space="preserve">, </w:t>
      </w:r>
      <w:proofErr w:type="spellStart"/>
      <w:r w:rsidRPr="00153228">
        <w:rPr>
          <w:rFonts w:cs="Calibri"/>
          <w:bCs/>
          <w:sz w:val="20"/>
        </w:rPr>
        <w:t>docx</w:t>
      </w:r>
      <w:proofErr w:type="spellEnd"/>
      <w:r w:rsidRPr="00153228">
        <w:rPr>
          <w:rFonts w:cs="Calibri"/>
          <w:bCs/>
          <w:sz w:val="20"/>
        </w:rPr>
        <w:t xml:space="preserve">, </w:t>
      </w:r>
      <w:proofErr w:type="spellStart"/>
      <w:r w:rsidRPr="00153228">
        <w:rPr>
          <w:rFonts w:cs="Calibri"/>
          <w:bCs/>
          <w:sz w:val="20"/>
        </w:rPr>
        <w:t>pptx</w:t>
      </w:r>
      <w:proofErr w:type="spellEnd"/>
      <w:r w:rsidRPr="00153228">
        <w:rPr>
          <w:rFonts w:cs="Calibri"/>
          <w:bCs/>
          <w:sz w:val="20"/>
        </w:rPr>
        <w:t xml:space="preserve">, pdf, </w:t>
      </w:r>
      <w:proofErr w:type="spellStart"/>
      <w:r w:rsidRPr="00153228">
        <w:rPr>
          <w:rFonts w:cs="Calibri"/>
          <w:bCs/>
          <w:sz w:val="20"/>
        </w:rPr>
        <w:t>xml</w:t>
      </w:r>
      <w:proofErr w:type="spellEnd"/>
      <w:r w:rsidRPr="00153228">
        <w:rPr>
          <w:rFonts w:cs="Calibri"/>
          <w:bCs/>
          <w:sz w:val="20"/>
        </w:rPr>
        <w:t xml:space="preserve">, </w:t>
      </w:r>
      <w:proofErr w:type="spellStart"/>
      <w:r w:rsidRPr="00153228">
        <w:rPr>
          <w:rFonts w:cs="Calibri"/>
          <w:bCs/>
          <w:sz w:val="20"/>
        </w:rPr>
        <w:t>rar</w:t>
      </w:r>
      <w:proofErr w:type="spellEnd"/>
      <w:r w:rsidRPr="00153228">
        <w:rPr>
          <w:rFonts w:cs="Calibri"/>
          <w:bCs/>
          <w:sz w:val="20"/>
        </w:rPr>
        <w:t xml:space="preserve">, zip, gif, jpg, </w:t>
      </w:r>
      <w:proofErr w:type="spellStart"/>
      <w:r w:rsidRPr="00153228">
        <w:rPr>
          <w:rFonts w:cs="Calibri"/>
          <w:bCs/>
          <w:sz w:val="20"/>
        </w:rPr>
        <w:t>dwg</w:t>
      </w:r>
      <w:proofErr w:type="spellEnd"/>
      <w:r w:rsidRPr="00153228">
        <w:rPr>
          <w:rFonts w:cs="Calibri"/>
          <w:bCs/>
          <w:sz w:val="20"/>
        </w:rPr>
        <w:t xml:space="preserve">, </w:t>
      </w:r>
      <w:proofErr w:type="spellStart"/>
      <w:r w:rsidRPr="00153228">
        <w:rPr>
          <w:rFonts w:cs="Calibri"/>
          <w:bCs/>
          <w:sz w:val="20"/>
        </w:rPr>
        <w:t>tif</w:t>
      </w:r>
      <w:proofErr w:type="spellEnd"/>
      <w:r w:rsidRPr="00153228">
        <w:rPr>
          <w:rFonts w:cs="Calibri"/>
          <w:bCs/>
          <w:sz w:val="20"/>
        </w:rPr>
        <w:t xml:space="preserve">, </w:t>
      </w:r>
      <w:proofErr w:type="spellStart"/>
      <w:r w:rsidRPr="00153228">
        <w:rPr>
          <w:rFonts w:cs="Calibri"/>
          <w:bCs/>
          <w:sz w:val="20"/>
        </w:rPr>
        <w:t>tiff</w:t>
      </w:r>
      <w:proofErr w:type="spellEnd"/>
      <w:r w:rsidRPr="00153228">
        <w:rPr>
          <w:rFonts w:cs="Calibri"/>
          <w:bCs/>
          <w:sz w:val="20"/>
        </w:rPr>
        <w:t xml:space="preserve">, txt, rtf, </w:t>
      </w:r>
      <w:proofErr w:type="spellStart"/>
      <w:r w:rsidRPr="00153228">
        <w:rPr>
          <w:rFonts w:cs="Calibri"/>
          <w:bCs/>
          <w:sz w:val="20"/>
        </w:rPr>
        <w:t>jpeg</w:t>
      </w:r>
      <w:proofErr w:type="spellEnd"/>
      <w:r w:rsidRPr="00153228">
        <w:rPr>
          <w:rFonts w:cs="Calibri"/>
          <w:bCs/>
          <w:sz w:val="20"/>
        </w:rPr>
        <w:t xml:space="preserve">, </w:t>
      </w:r>
      <w:proofErr w:type="spellStart"/>
      <w:r w:rsidRPr="00153228">
        <w:rPr>
          <w:rFonts w:cs="Calibri"/>
          <w:bCs/>
          <w:sz w:val="20"/>
        </w:rPr>
        <w:t>bmp</w:t>
      </w:r>
      <w:proofErr w:type="spellEnd"/>
      <w:r w:rsidRPr="00153228">
        <w:rPr>
          <w:rFonts w:cs="Calibri"/>
          <w:bCs/>
          <w:sz w:val="20"/>
        </w:rPr>
        <w:t xml:space="preserve">, </w:t>
      </w:r>
      <w:proofErr w:type="spellStart"/>
      <w:r w:rsidRPr="00153228">
        <w:rPr>
          <w:rFonts w:cs="Calibri"/>
          <w:bCs/>
          <w:sz w:val="20"/>
        </w:rPr>
        <w:t>ath</w:t>
      </w:r>
      <w:proofErr w:type="spellEnd"/>
      <w:r w:rsidRPr="00153228">
        <w:rPr>
          <w:rFonts w:cs="Calibri"/>
          <w:bCs/>
          <w:sz w:val="20"/>
        </w:rPr>
        <w:t xml:space="preserve">, </w:t>
      </w:r>
      <w:proofErr w:type="spellStart"/>
      <w:r w:rsidRPr="00153228">
        <w:rPr>
          <w:rFonts w:cs="Calibri"/>
          <w:bCs/>
          <w:sz w:val="20"/>
        </w:rPr>
        <w:t>kst</w:t>
      </w:r>
      <w:proofErr w:type="spellEnd"/>
      <w:r w:rsidRPr="00153228">
        <w:rPr>
          <w:rFonts w:cs="Calibri"/>
          <w:bCs/>
          <w:sz w:val="20"/>
        </w:rPr>
        <w:t xml:space="preserve">, </w:t>
      </w:r>
      <w:proofErr w:type="spellStart"/>
      <w:r w:rsidRPr="00153228">
        <w:rPr>
          <w:rFonts w:cs="Calibri"/>
          <w:bCs/>
          <w:sz w:val="20"/>
        </w:rPr>
        <w:t>png</w:t>
      </w:r>
      <w:proofErr w:type="spellEnd"/>
      <w:r w:rsidRPr="00153228">
        <w:rPr>
          <w:rFonts w:cs="Calibri"/>
          <w:bCs/>
          <w:sz w:val="20"/>
        </w:rPr>
        <w:t xml:space="preserve">, </w:t>
      </w:r>
      <w:proofErr w:type="spellStart"/>
      <w:r w:rsidRPr="00153228">
        <w:rPr>
          <w:rFonts w:cs="Calibri"/>
          <w:bCs/>
          <w:sz w:val="20"/>
        </w:rPr>
        <w:t>asic</w:t>
      </w:r>
      <w:proofErr w:type="spellEnd"/>
      <w:r w:rsidRPr="00153228">
        <w:rPr>
          <w:rFonts w:cs="Calibri"/>
          <w:bCs/>
          <w:sz w:val="20"/>
        </w:rPr>
        <w:t xml:space="preserve">, </w:t>
      </w:r>
      <w:proofErr w:type="spellStart"/>
      <w:r w:rsidRPr="00153228">
        <w:rPr>
          <w:rFonts w:cs="Calibri"/>
          <w:bCs/>
          <w:sz w:val="20"/>
        </w:rPr>
        <w:t>cades</w:t>
      </w:r>
      <w:proofErr w:type="spellEnd"/>
      <w:r w:rsidRPr="00153228">
        <w:rPr>
          <w:rFonts w:cs="Calibri"/>
          <w:bCs/>
          <w:sz w:val="20"/>
        </w:rPr>
        <w:t xml:space="preserve">, </w:t>
      </w:r>
      <w:proofErr w:type="spellStart"/>
      <w:r w:rsidRPr="00153228">
        <w:rPr>
          <w:rFonts w:cs="Calibri"/>
          <w:bCs/>
          <w:sz w:val="20"/>
        </w:rPr>
        <w:t>xades</w:t>
      </w:r>
      <w:proofErr w:type="spellEnd"/>
      <w:r w:rsidRPr="00153228">
        <w:rPr>
          <w:rFonts w:cs="Calibri"/>
          <w:bCs/>
          <w:sz w:val="20"/>
        </w:rPr>
        <w:t xml:space="preserve">, </w:t>
      </w:r>
      <w:proofErr w:type="spellStart"/>
      <w:r w:rsidRPr="00153228">
        <w:rPr>
          <w:rFonts w:cs="Calibri"/>
          <w:bCs/>
          <w:sz w:val="20"/>
        </w:rPr>
        <w:t>pades</w:t>
      </w:r>
      <w:proofErr w:type="spellEnd"/>
      <w:r w:rsidRPr="00153228">
        <w:rPr>
          <w:rFonts w:cs="Calibri"/>
          <w:bCs/>
          <w:sz w:val="20"/>
        </w:rPr>
        <w:t xml:space="preserve">, 7z, mp4, </w:t>
      </w:r>
      <w:proofErr w:type="spellStart"/>
      <w:r w:rsidRPr="00153228">
        <w:rPr>
          <w:rFonts w:cs="Calibri"/>
          <w:bCs/>
          <w:sz w:val="20"/>
        </w:rPr>
        <w:t>msg</w:t>
      </w:r>
      <w:proofErr w:type="spellEnd"/>
      <w:r w:rsidRPr="00153228">
        <w:rPr>
          <w:rFonts w:cs="Calibri"/>
          <w:bCs/>
          <w:sz w:val="20"/>
        </w:rPr>
        <w:t xml:space="preserve">, </w:t>
      </w:r>
      <w:proofErr w:type="spellStart"/>
      <w:r w:rsidRPr="00153228">
        <w:rPr>
          <w:rFonts w:cs="Calibri"/>
          <w:bCs/>
          <w:sz w:val="20"/>
        </w:rPr>
        <w:t>url</w:t>
      </w:r>
      <w:proofErr w:type="spellEnd"/>
      <w:r w:rsidRPr="00153228">
        <w:rPr>
          <w:rFonts w:cs="Calibri"/>
          <w:bCs/>
          <w:sz w:val="20"/>
        </w:rPr>
        <w:t xml:space="preserve">, </w:t>
      </w:r>
      <w:proofErr w:type="spellStart"/>
      <w:r w:rsidRPr="00153228">
        <w:rPr>
          <w:rFonts w:cs="Calibri"/>
          <w:bCs/>
          <w:sz w:val="20"/>
        </w:rPr>
        <w:t>ods</w:t>
      </w:r>
      <w:proofErr w:type="spellEnd"/>
      <w:r w:rsidRPr="00153228">
        <w:rPr>
          <w:rFonts w:cs="Calibri"/>
          <w:bCs/>
          <w:sz w:val="20"/>
        </w:rPr>
        <w:t xml:space="preserve">, </w:t>
      </w:r>
      <w:proofErr w:type="spellStart"/>
      <w:r w:rsidRPr="00153228">
        <w:rPr>
          <w:rFonts w:cs="Calibri"/>
          <w:bCs/>
          <w:sz w:val="20"/>
        </w:rPr>
        <w:t>cpg</w:t>
      </w:r>
      <w:proofErr w:type="spellEnd"/>
      <w:r w:rsidRPr="00153228">
        <w:rPr>
          <w:rFonts w:cs="Calibri"/>
          <w:bCs/>
          <w:sz w:val="20"/>
        </w:rPr>
        <w:t xml:space="preserve">, </w:t>
      </w:r>
      <w:proofErr w:type="spellStart"/>
      <w:r w:rsidRPr="00153228">
        <w:rPr>
          <w:rFonts w:cs="Calibri"/>
          <w:bCs/>
          <w:sz w:val="20"/>
        </w:rPr>
        <w:t>dbf</w:t>
      </w:r>
      <w:proofErr w:type="spellEnd"/>
      <w:r w:rsidRPr="00153228">
        <w:rPr>
          <w:rFonts w:cs="Calibri"/>
          <w:bCs/>
          <w:sz w:val="20"/>
        </w:rPr>
        <w:t xml:space="preserve">, </w:t>
      </w:r>
      <w:proofErr w:type="spellStart"/>
      <w:r w:rsidRPr="00153228">
        <w:rPr>
          <w:rFonts w:cs="Calibri"/>
          <w:bCs/>
          <w:sz w:val="20"/>
        </w:rPr>
        <w:t>prj</w:t>
      </w:r>
      <w:proofErr w:type="spellEnd"/>
      <w:r w:rsidRPr="00153228">
        <w:rPr>
          <w:rFonts w:cs="Calibri"/>
          <w:bCs/>
          <w:sz w:val="20"/>
        </w:rPr>
        <w:t xml:space="preserve">, </w:t>
      </w:r>
      <w:proofErr w:type="spellStart"/>
      <w:r w:rsidRPr="00153228">
        <w:rPr>
          <w:rFonts w:cs="Calibri"/>
          <w:bCs/>
          <w:sz w:val="20"/>
        </w:rPr>
        <w:t>qmd</w:t>
      </w:r>
      <w:proofErr w:type="spellEnd"/>
      <w:r w:rsidRPr="00153228">
        <w:rPr>
          <w:rFonts w:cs="Calibri"/>
          <w:bCs/>
          <w:sz w:val="20"/>
        </w:rPr>
        <w:t xml:space="preserve">, </w:t>
      </w:r>
      <w:proofErr w:type="spellStart"/>
      <w:r w:rsidRPr="00153228">
        <w:rPr>
          <w:rFonts w:cs="Calibri"/>
          <w:bCs/>
          <w:sz w:val="20"/>
        </w:rPr>
        <w:t>shp</w:t>
      </w:r>
      <w:proofErr w:type="spellEnd"/>
      <w:r w:rsidRPr="00153228">
        <w:rPr>
          <w:rFonts w:cs="Calibri"/>
          <w:bCs/>
          <w:sz w:val="20"/>
        </w:rPr>
        <w:t xml:space="preserve">, </w:t>
      </w:r>
      <w:proofErr w:type="spellStart"/>
      <w:r w:rsidRPr="00153228">
        <w:rPr>
          <w:rFonts w:cs="Calibri"/>
          <w:bCs/>
          <w:sz w:val="20"/>
        </w:rPr>
        <w:t>odt</w:t>
      </w:r>
      <w:proofErr w:type="spellEnd"/>
      <w:r w:rsidRPr="00153228">
        <w:rPr>
          <w:rFonts w:cs="Calibri"/>
          <w:bCs/>
          <w:sz w:val="20"/>
        </w:rPr>
        <w:t xml:space="preserve">, </w:t>
      </w:r>
      <w:proofErr w:type="spellStart"/>
      <w:r w:rsidRPr="00153228">
        <w:rPr>
          <w:rFonts w:cs="Calibri"/>
          <w:bCs/>
          <w:sz w:val="20"/>
        </w:rPr>
        <w:t>xlsm</w:t>
      </w:r>
      <w:proofErr w:type="spellEnd"/>
      <w:r w:rsidRPr="00153228">
        <w:rPr>
          <w:rFonts w:cs="Calibri"/>
          <w:bCs/>
          <w:sz w:val="20"/>
        </w:rPr>
        <w:t xml:space="preserve">, </w:t>
      </w:r>
      <w:proofErr w:type="spellStart"/>
      <w:r w:rsidRPr="00153228">
        <w:rPr>
          <w:rFonts w:cs="Calibri"/>
          <w:bCs/>
          <w:sz w:val="20"/>
        </w:rPr>
        <w:t>ppt</w:t>
      </w:r>
      <w:proofErr w:type="spellEnd"/>
      <w:r w:rsidRPr="00153228">
        <w:rPr>
          <w:rFonts w:cs="Calibri"/>
          <w:bCs/>
          <w:sz w:val="20"/>
        </w:rPr>
        <w:t xml:space="preserve">, </w:t>
      </w:r>
      <w:proofErr w:type="spellStart"/>
      <w:r w:rsidRPr="00153228">
        <w:rPr>
          <w:rFonts w:cs="Calibri"/>
          <w:bCs/>
          <w:sz w:val="20"/>
        </w:rPr>
        <w:t>html</w:t>
      </w:r>
      <w:proofErr w:type="spellEnd"/>
      <w:r w:rsidRPr="00153228">
        <w:rPr>
          <w:rFonts w:cs="Calibri"/>
          <w:bCs/>
          <w:sz w:val="20"/>
        </w:rPr>
        <w:t>. Zaleca się wykorzystywanie plików w formacie pdf.</w:t>
      </w:r>
    </w:p>
    <w:p w14:paraId="17442BE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4DBA0010" w14:textId="419B9079" w:rsidR="00153228" w:rsidRPr="00153228" w:rsidRDefault="008F38F2"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pliki dołączane do systemu przez Wykonawców są sprawdzane </w:t>
      </w:r>
      <w:r w:rsidR="00153228">
        <w:rPr>
          <w:rFonts w:cs="Calibri"/>
          <w:sz w:val="20"/>
        </w:rPr>
        <w:t xml:space="preserve">    </w:t>
      </w:r>
    </w:p>
    <w:p w14:paraId="1C14E9CD" w14:textId="5F0C68F9" w:rsidR="00F04543"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53228">
        <w:rPr>
          <w:rFonts w:cs="Calibri"/>
          <w:sz w:val="20"/>
        </w:rPr>
        <w:t xml:space="preserve">oprogramowaniem antywirusowym. </w:t>
      </w:r>
    </w:p>
    <w:p w14:paraId="20AD8E5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0468BEA0" w14:textId="77777777" w:rsidR="00153228"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 datę złożenia oferty, wniosków, zawiadomienia, dokumentu elektronicznego, </w:t>
      </w:r>
      <w:r w:rsidR="00153228">
        <w:rPr>
          <w:rFonts w:cs="Calibri"/>
          <w:sz w:val="20"/>
        </w:rPr>
        <w:t xml:space="preserve"> </w:t>
      </w:r>
    </w:p>
    <w:p w14:paraId="44DB494B" w14:textId="77777777" w:rsid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oświadczenia lub elektronicznej kopii dokumentu lub oświadczenia przyjmuje się datę </w:t>
      </w:r>
    </w:p>
    <w:p w14:paraId="62A7B8A5" w14:textId="1BD3DDD6" w:rsidR="00F04543" w:rsidRPr="001B2459"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przekazania (złożenia) w Systemie Zakupowym do Zamawiającego. </w:t>
      </w:r>
    </w:p>
    <w:p w14:paraId="77F29265"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C5D0B2D" w14:textId="77777777" w:rsidR="00153228"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System po upływie terminu składania ofert nie dopuści możliwości złożenia oferty, tym </w:t>
      </w:r>
      <w:r w:rsidR="00153228">
        <w:rPr>
          <w:rFonts w:cs="Calibri"/>
          <w:sz w:val="20"/>
        </w:rPr>
        <w:t xml:space="preserve"> </w:t>
      </w:r>
    </w:p>
    <w:p w14:paraId="6CA00708" w14:textId="196F004D" w:rsidR="008F38F2"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samym zaleca się przygotowanie i złożenie oferty z odpowiednim wyprzedzeniem.</w:t>
      </w:r>
    </w:p>
    <w:p w14:paraId="526B590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12"/>
        </w:rPr>
      </w:pPr>
    </w:p>
    <w:p w14:paraId="51B61987" w14:textId="77777777" w:rsidR="00E54385" w:rsidRPr="00E54385" w:rsidRDefault="00E54385" w:rsidP="00E54385">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Wsparcie techniczne dla Wykonawców w zakresie obsługi Systemu jest dostępne poprzez </w:t>
      </w:r>
    </w:p>
    <w:p w14:paraId="122B3537" w14:textId="77777777" w:rsidR="00E54385" w:rsidRDefault="00E54385" w:rsidP="00E54385">
      <w:pPr>
        <w:pStyle w:val="Akapitzlist"/>
        <w:shd w:val="clear" w:color="auto" w:fill="FFFFFF" w:themeFill="background1"/>
        <w:tabs>
          <w:tab w:val="left" w:pos="851"/>
        </w:tabs>
        <w:suppressAutoHyphens/>
        <w:spacing w:before="120" w:after="120"/>
        <w:ind w:left="709"/>
        <w:jc w:val="both"/>
        <w:rPr>
          <w:rFonts w:cs="Calibri"/>
          <w:bCs/>
          <w:sz w:val="20"/>
        </w:rPr>
      </w:pPr>
      <w:r>
        <w:rPr>
          <w:rFonts w:cs="Calibri"/>
          <w:bCs/>
          <w:sz w:val="20"/>
        </w:rPr>
        <w:t xml:space="preserve">  </w:t>
      </w:r>
      <w:r w:rsidRPr="00E54385">
        <w:rPr>
          <w:rFonts w:cs="Calibri"/>
          <w:bCs/>
          <w:sz w:val="20"/>
        </w:rPr>
        <w:t xml:space="preserve">Usługę Help </w:t>
      </w:r>
      <w:proofErr w:type="spellStart"/>
      <w:r w:rsidRPr="00E54385">
        <w:rPr>
          <w:rFonts w:cs="Calibri"/>
          <w:bCs/>
          <w:sz w:val="20"/>
        </w:rPr>
        <w:t>Desk</w:t>
      </w:r>
      <w:proofErr w:type="spellEnd"/>
      <w:r w:rsidRPr="00E54385">
        <w:rPr>
          <w:rFonts w:cs="Calibri"/>
          <w:bCs/>
          <w:sz w:val="20"/>
        </w:rPr>
        <w:t xml:space="preserve"> dla Wykonawców:</w:t>
      </w:r>
      <w:bookmarkStart w:id="35" w:name="_Toc193111798"/>
    </w:p>
    <w:p w14:paraId="6B9E0E4D" w14:textId="77777777"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Infolinia:</w:t>
      </w:r>
      <w:r w:rsidRPr="00E54385">
        <w:rPr>
          <w:rFonts w:cs="Arial"/>
          <w:bCs/>
          <w:sz w:val="20"/>
        </w:rPr>
        <w:t xml:space="preserve"> +48 22 576 87 87</w:t>
      </w:r>
    </w:p>
    <w:p w14:paraId="5329CA09" w14:textId="51F7AAF6"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E-mail:</w:t>
      </w:r>
      <w:r w:rsidRPr="00E54385">
        <w:rPr>
          <w:rFonts w:cs="Arial"/>
          <w:bCs/>
          <w:sz w:val="20"/>
        </w:rPr>
        <w:t xml:space="preserve">helpdesk.zakupy@gkpge.pl </w:t>
      </w:r>
    </w:p>
    <w:p w14:paraId="64A46642" w14:textId="2C0F60DF"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Formularz kontaktowy</w:t>
      </w:r>
      <w:r w:rsidRPr="00E54385">
        <w:rPr>
          <w:rFonts w:cs="Arial"/>
          <w:bCs/>
          <w:sz w:val="20"/>
        </w:rPr>
        <w:t xml:space="preserve">: </w:t>
      </w:r>
      <w:hyperlink r:id="rId23" w:history="1">
        <w:r w:rsidRPr="00F82175">
          <w:rPr>
            <w:rStyle w:val="Hipercze"/>
            <w:rFonts w:cs="Arial"/>
            <w:bCs/>
          </w:rPr>
          <w:t>https://swpp2.gkpge.pl/app/helpdesk/form</w:t>
        </w:r>
      </w:hyperlink>
    </w:p>
    <w:p w14:paraId="40A4C70B" w14:textId="77777777" w:rsidR="00E54385" w:rsidRPr="00E54385" w:rsidRDefault="00E54385" w:rsidP="00E54385">
      <w:pPr>
        <w:tabs>
          <w:tab w:val="center" w:pos="4536"/>
          <w:tab w:val="left" w:pos="9072"/>
        </w:tabs>
        <w:ind w:left="850"/>
        <w:jc w:val="both"/>
        <w:rPr>
          <w:rFonts w:cs="Arial"/>
          <w:bCs/>
          <w:sz w:val="20"/>
        </w:rPr>
      </w:pPr>
      <w:r w:rsidRPr="00E54385">
        <w:rPr>
          <w:rFonts w:cs="Arial"/>
          <w:b/>
          <w:bCs/>
          <w:sz w:val="20"/>
        </w:rPr>
        <w:t>Godziny pracy</w:t>
      </w:r>
      <w:r w:rsidRPr="00E54385">
        <w:rPr>
          <w:rFonts w:cs="Arial"/>
          <w:bCs/>
          <w:sz w:val="20"/>
        </w:rPr>
        <w:t xml:space="preserve">: Help </w:t>
      </w:r>
      <w:proofErr w:type="spellStart"/>
      <w:r w:rsidRPr="00E54385">
        <w:rPr>
          <w:rFonts w:cs="Arial"/>
          <w:bCs/>
          <w:sz w:val="20"/>
        </w:rPr>
        <w:t>Desk</w:t>
      </w:r>
      <w:proofErr w:type="spellEnd"/>
      <w:r w:rsidRPr="00E54385">
        <w:rPr>
          <w:rFonts w:cs="Arial"/>
          <w:bCs/>
          <w:sz w:val="20"/>
        </w:rPr>
        <w:t xml:space="preserve"> Systemu Zakupowego dostępny jest codziennie od poniedziałku do piątku w godzinach 08:00 - 16:00 (z wyłączeniem dni ustawowo wolnych od pracy).</w:t>
      </w:r>
    </w:p>
    <w:p w14:paraId="002AB2B4" w14:textId="0C74D926" w:rsidR="00E54385" w:rsidRPr="00E54385" w:rsidRDefault="00E54385" w:rsidP="00E54385">
      <w:pPr>
        <w:shd w:val="clear" w:color="auto" w:fill="FFFFFF" w:themeFill="background1"/>
        <w:tabs>
          <w:tab w:val="left" w:pos="851"/>
        </w:tabs>
        <w:suppressAutoHyphens/>
        <w:spacing w:before="120" w:after="120"/>
        <w:ind w:left="850"/>
        <w:jc w:val="both"/>
        <w:rPr>
          <w:rFonts w:cs="Arial"/>
          <w:bCs/>
        </w:rPr>
      </w:pPr>
      <w:r w:rsidRPr="00E54385">
        <w:rPr>
          <w:rFonts w:cs="Arial"/>
          <w:b/>
          <w:bCs/>
          <w:sz w:val="20"/>
        </w:rPr>
        <w:t>Zakres wsparcia</w:t>
      </w:r>
      <w:r w:rsidRPr="00E54385">
        <w:rPr>
          <w:rFonts w:cs="Arial"/>
          <w:bCs/>
          <w:sz w:val="20"/>
        </w:rPr>
        <w:t>: https://pgedystrybucja.pl/przetargi</w:t>
      </w:r>
    </w:p>
    <w:p w14:paraId="6931A0DE" w14:textId="7077256B" w:rsidR="008F38F2" w:rsidRPr="001B2459" w:rsidRDefault="00526190" w:rsidP="004955CB">
      <w:pPr>
        <w:pStyle w:val="Nagwek1"/>
      </w:pPr>
      <w:r>
        <w:t xml:space="preserve">  </w:t>
      </w:r>
      <w:r w:rsidR="008F38F2" w:rsidRPr="001B2459">
        <w:t>ZAŁĄCZNIKI</w:t>
      </w:r>
      <w:bookmarkEnd w:id="35"/>
    </w:p>
    <w:p w14:paraId="2FF5515F" w14:textId="66A783CC"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1</w:t>
      </w:r>
      <w:r w:rsidR="003D5905">
        <w:rPr>
          <w:rFonts w:cs="Calibri"/>
          <w:b/>
          <w:bCs/>
          <w:sz w:val="20"/>
        </w:rPr>
        <w:t>8</w:t>
      </w:r>
      <w:r w:rsidRPr="001B2459">
        <w:rPr>
          <w:rFonts w:cs="Calibri"/>
          <w:b/>
          <w:bCs/>
          <w:sz w:val="20"/>
        </w:rPr>
        <w:t xml:space="preserve">.1. </w:t>
      </w:r>
      <w:r w:rsidRPr="001B2459">
        <w:rPr>
          <w:rFonts w:cs="Calibri"/>
          <w:b/>
          <w:sz w:val="20"/>
        </w:rPr>
        <w:tab/>
      </w:r>
      <w:r w:rsidRPr="001B2459">
        <w:rPr>
          <w:rFonts w:cs="Calibri"/>
          <w:sz w:val="20"/>
        </w:rPr>
        <w:t>Integralną częścią niniejszej SWZ są następujące Załączniki:</w:t>
      </w:r>
    </w:p>
    <w:p w14:paraId="713F727D" w14:textId="03C5CAB1" w:rsidR="008F38F2" w:rsidRDefault="008F38F2" w:rsidP="00E54385">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A182278" w14:textId="0ACAF869" w:rsidR="008F38F2" w:rsidRPr="00053092" w:rsidRDefault="008F38F2" w:rsidP="00053092">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w:t>
      </w:r>
      <w:r w:rsidR="00053092">
        <w:rPr>
          <w:rFonts w:cs="Calibri"/>
          <w:sz w:val="20"/>
        </w:rPr>
        <w:t>a, opis sposobu oceny, elementy składowe O</w:t>
      </w:r>
      <w:r w:rsidRPr="001B2459">
        <w:rPr>
          <w:rFonts w:cs="Calibri"/>
          <w:sz w:val="20"/>
        </w:rPr>
        <w:t>ferty</w:t>
      </w:r>
    </w:p>
    <w:p w14:paraId="7AEF0F36" w14:textId="50CE7569" w:rsidR="008F38F2" w:rsidRPr="001B2459" w:rsidRDefault="008F38F2" w:rsidP="00E54385">
      <w:pPr>
        <w:spacing w:after="0" w:line="276" w:lineRule="auto"/>
        <w:ind w:firstLine="567"/>
        <w:rPr>
          <w:rFonts w:cs="Calibri"/>
          <w:sz w:val="20"/>
        </w:rPr>
      </w:pPr>
      <w:r w:rsidRPr="001B2459">
        <w:rPr>
          <w:rFonts w:cs="Calibri"/>
          <w:b/>
          <w:bCs/>
          <w:sz w:val="20"/>
        </w:rPr>
        <w:t>Załącznik nr 3</w:t>
      </w:r>
      <w:r w:rsidR="00053092">
        <w:rPr>
          <w:rFonts w:cs="Calibri"/>
          <w:sz w:val="20"/>
        </w:rPr>
        <w:t xml:space="preserve"> – Formularz Ofertowy</w:t>
      </w:r>
    </w:p>
    <w:p w14:paraId="5E405B32" w14:textId="42B8486B" w:rsidR="006C17C6" w:rsidRPr="001B2459" w:rsidRDefault="008F38F2" w:rsidP="00E54385">
      <w:pPr>
        <w:spacing w:after="0" w:line="276" w:lineRule="auto"/>
        <w:ind w:left="2410" w:hanging="1843"/>
        <w:rPr>
          <w:rFonts w:cs="Calibri"/>
          <w:sz w:val="20"/>
        </w:rPr>
      </w:pPr>
      <w:r w:rsidRPr="001B2459">
        <w:rPr>
          <w:rFonts w:cs="Calibri"/>
          <w:b/>
          <w:bCs/>
          <w:sz w:val="20"/>
        </w:rPr>
        <w:lastRenderedPageBreak/>
        <w:t>Załącznik nr 4</w:t>
      </w:r>
      <w:r w:rsidRPr="001B2459">
        <w:rPr>
          <w:rFonts w:cs="Calibri"/>
          <w:sz w:val="20"/>
        </w:rPr>
        <w:t xml:space="preserve"> – Oświadczenie o braku podstaw wykluczenia na podstawie przesłanek wskazanych w przepisach ustawy o szczególnych rozwiązaniach </w:t>
      </w:r>
      <w:r w:rsidR="00BE0694">
        <w:rPr>
          <w:rFonts w:cs="Calibri"/>
          <w:sz w:val="20"/>
        </w:rPr>
        <w:t xml:space="preserve">                            </w:t>
      </w:r>
      <w:r w:rsidRPr="001B2459">
        <w:rPr>
          <w:rFonts w:cs="Calibri"/>
          <w:sz w:val="20"/>
        </w:rPr>
        <w:t xml:space="preserve">w zakresie przeciwdziałania </w:t>
      </w:r>
      <w:r w:rsidR="006C17C6" w:rsidRPr="001B2459">
        <w:rPr>
          <w:rFonts w:cs="Calibri"/>
          <w:sz w:val="20"/>
        </w:rPr>
        <w:t>wspieraniu agresji na Ukrainę</w:t>
      </w:r>
    </w:p>
    <w:p w14:paraId="40277E9B" w14:textId="532D78A4" w:rsidR="008F38F2" w:rsidRPr="001B2459" w:rsidRDefault="00BE0694" w:rsidP="00E54385">
      <w:pPr>
        <w:spacing w:after="0" w:line="276" w:lineRule="auto"/>
        <w:ind w:left="2410" w:hanging="1843"/>
        <w:rPr>
          <w:rFonts w:cs="Calibri"/>
          <w:sz w:val="20"/>
        </w:rPr>
      </w:pPr>
      <w:r>
        <w:rPr>
          <w:rFonts w:cs="Calibri"/>
          <w:sz w:val="20"/>
        </w:rPr>
        <w:t xml:space="preserve">                          </w:t>
      </w:r>
      <w:r w:rsidR="008F38F2" w:rsidRPr="001B2459">
        <w:rPr>
          <w:rFonts w:cs="Calibri"/>
          <w:sz w:val="20"/>
        </w:rPr>
        <w:t>oraz rozporządzenia (UE) 2022/576 z dnia 8 kwietnia 2022 r.</w:t>
      </w:r>
    </w:p>
    <w:p w14:paraId="4630E10A" w14:textId="07F92415" w:rsidR="008F38F2"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E54385">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12646CA0" w14:textId="24E10573" w:rsidR="006C17C6"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t>
      </w:r>
      <w:r w:rsidR="00053092" w:rsidRPr="00053092">
        <w:rPr>
          <w:rFonts w:cs="Calibri"/>
          <w:sz w:val="20"/>
        </w:rPr>
        <w:t>Oświadczenie o doświadczeniu zawodowym</w:t>
      </w:r>
    </w:p>
    <w:p w14:paraId="24E5F0A7" w14:textId="7EDB1F9E" w:rsidR="008F38F2" w:rsidRPr="001B2459" w:rsidRDefault="006C17C6" w:rsidP="006C17C6">
      <w:pPr>
        <w:spacing w:after="0" w:line="276" w:lineRule="auto"/>
        <w:ind w:firstLine="567"/>
        <w:rPr>
          <w:rFonts w:cs="Calibri"/>
          <w:sz w:val="20"/>
        </w:rPr>
      </w:pPr>
      <w:r w:rsidRPr="001B2459">
        <w:rPr>
          <w:rFonts w:cs="Calibri"/>
          <w:sz w:val="20"/>
        </w:rPr>
        <w:t xml:space="preserve">                            </w:t>
      </w:r>
    </w:p>
    <w:p w14:paraId="244E0100" w14:textId="7221248F"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053092">
        <w:rPr>
          <w:rFonts w:cs="Calibri"/>
          <w:sz w:val="20"/>
        </w:rPr>
        <w:t xml:space="preserve"> – </w:t>
      </w:r>
      <w:r w:rsidR="00053092" w:rsidRPr="00053092">
        <w:rPr>
          <w:rFonts w:cs="Calibri"/>
          <w:sz w:val="20"/>
        </w:rPr>
        <w:t>Oświadczenie o dysponowaniu osobami</w:t>
      </w:r>
    </w:p>
    <w:p w14:paraId="4A9EE4F8" w14:textId="4AAA7075" w:rsidR="008F38F2" w:rsidRPr="001B2459" w:rsidRDefault="006C17C6" w:rsidP="00053092">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 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4"/>
      <w:footerReference w:type="default" r:id="rId25"/>
      <w:headerReference w:type="first" r:id="rId26"/>
      <w:footerReference w:type="first" r:id="rId2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6F6A6C" w:rsidRDefault="006F6A6C" w:rsidP="00582CE9">
      <w:pPr>
        <w:spacing w:after="0"/>
      </w:pPr>
      <w:r>
        <w:separator/>
      </w:r>
    </w:p>
  </w:endnote>
  <w:endnote w:type="continuationSeparator" w:id="0">
    <w:p w14:paraId="1EB484C7" w14:textId="77777777" w:rsidR="006F6A6C" w:rsidRDefault="006F6A6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10505A67" w:rsidR="006F6A6C" w:rsidRPr="002A3136" w:rsidRDefault="006F6A6C">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0216D">
          <w:rPr>
            <w:rFonts w:ascii="Calibri" w:hAnsi="Calibri" w:cs="Calibri"/>
            <w:noProof/>
            <w:sz w:val="20"/>
          </w:rPr>
          <w:t>2</w:t>
        </w:r>
        <w:r w:rsidRPr="002A3136">
          <w:rPr>
            <w:rFonts w:ascii="Calibri" w:hAnsi="Calibri" w:cs="Calibri"/>
            <w:sz w:val="20"/>
          </w:rPr>
          <w:fldChar w:fldCharType="end"/>
        </w:r>
      </w:p>
    </w:sdtContent>
  </w:sdt>
  <w:p w14:paraId="4A5385B6" w14:textId="77777777" w:rsidR="006F6A6C" w:rsidRDefault="006F6A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6F6A6C" w:rsidRDefault="006F6A6C">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6F6A6C" w:rsidRDefault="006F6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6F6A6C" w:rsidRDefault="006F6A6C" w:rsidP="00582CE9">
      <w:pPr>
        <w:spacing w:after="0"/>
      </w:pPr>
      <w:r>
        <w:separator/>
      </w:r>
    </w:p>
  </w:footnote>
  <w:footnote w:type="continuationSeparator" w:id="0">
    <w:p w14:paraId="2D5467E1" w14:textId="77777777" w:rsidR="006F6A6C" w:rsidRDefault="006F6A6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6F6A6C" w:rsidRDefault="006F6A6C">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6F6A6C" w:rsidRDefault="006F6A6C" w:rsidP="001B2459">
    <w:pPr>
      <w:suppressAutoHyphens/>
      <w:ind w:right="187"/>
      <w:rPr>
        <w:rFonts w:cs="Calibri"/>
        <w:color w:val="000000" w:themeColor="text1"/>
        <w:sz w:val="16"/>
        <w:szCs w:val="18"/>
      </w:rPr>
    </w:pPr>
  </w:p>
  <w:p w14:paraId="1F086FB8" w14:textId="75957855" w:rsidR="006F6A6C" w:rsidRPr="001B2459" w:rsidRDefault="006F6A6C"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1CE57E2E" w:rsidR="006F6A6C" w:rsidRPr="001B2459" w:rsidRDefault="006F6A6C"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w:t>
    </w:r>
    <w:r w:rsidR="00D46C25">
      <w:rPr>
        <w:rFonts w:asciiTheme="majorHAnsi" w:hAnsiTheme="majorHAnsi" w:cs="Calibri"/>
        <w:b/>
        <w:color w:val="000000" w:themeColor="text1"/>
        <w:sz w:val="16"/>
        <w:szCs w:val="18"/>
      </w:rPr>
      <w:t>T/DYS/OLD/GZ/</w:t>
    </w:r>
    <w:r w:rsidR="00291495">
      <w:rPr>
        <w:rFonts w:asciiTheme="majorHAnsi" w:hAnsiTheme="majorHAnsi" w:cs="Calibri"/>
        <w:b/>
        <w:color w:val="000000" w:themeColor="text1"/>
        <w:sz w:val="16"/>
        <w:szCs w:val="18"/>
      </w:rPr>
      <w:t>0</w:t>
    </w:r>
    <w:r w:rsidR="0070194E">
      <w:rPr>
        <w:rFonts w:asciiTheme="majorHAnsi" w:hAnsiTheme="majorHAnsi" w:cs="Calibri"/>
        <w:b/>
        <w:color w:val="000000" w:themeColor="text1"/>
        <w:sz w:val="16"/>
        <w:szCs w:val="18"/>
      </w:rPr>
      <w:t>4378</w:t>
    </w:r>
    <w:r w:rsidRPr="001B2459">
      <w:rPr>
        <w:rFonts w:asciiTheme="majorHAnsi" w:hAnsiTheme="majorHAnsi" w:cs="Calibri"/>
        <w:b/>
        <w:color w:val="000000" w:themeColor="text1"/>
        <w:sz w:val="16"/>
        <w:szCs w:val="18"/>
      </w:rPr>
      <w:t>/2025</w:t>
    </w:r>
  </w:p>
  <w:p w14:paraId="21FB987C" w14:textId="734C4B3C" w:rsidR="006F6A6C" w:rsidRDefault="006F6A6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F6A6C" w:rsidRPr="006B2C28" w14:paraId="13E0C230" w14:textId="77777777" w:rsidTr="008E4838">
      <w:trPr>
        <w:trHeight w:val="1140"/>
      </w:trPr>
      <w:tc>
        <w:tcPr>
          <w:tcW w:w="6119" w:type="dxa"/>
          <w:vAlign w:val="center"/>
        </w:tcPr>
        <w:p w14:paraId="2F4B1FD9"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6F6A6C" w:rsidRPr="005A7EEA" w:rsidRDefault="006F6A6C"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6F6A6C" w:rsidRPr="006B2C28" w:rsidRDefault="006F6A6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6F6A6C" w:rsidRPr="006B2C28" w:rsidRDefault="006F6A6C" w:rsidP="00DE3208">
          <w:pPr>
            <w:suppressAutoHyphens/>
            <w:ind w:right="187"/>
            <w:rPr>
              <w:rFonts w:asciiTheme="majorHAnsi" w:hAnsiTheme="majorHAnsi"/>
              <w:color w:val="092D74"/>
              <w:sz w:val="14"/>
              <w:szCs w:val="18"/>
            </w:rPr>
          </w:pPr>
        </w:p>
      </w:tc>
      <w:tc>
        <w:tcPr>
          <w:tcW w:w="6119" w:type="dxa"/>
          <w:vAlign w:val="center"/>
        </w:tcPr>
        <w:p w14:paraId="167572E0" w14:textId="77777777" w:rsidR="006F6A6C" w:rsidRPr="006B2C28" w:rsidRDefault="006F6A6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6F6A6C" w:rsidRPr="006B2C28" w:rsidRDefault="006F6A6C" w:rsidP="00DE3208">
          <w:pPr>
            <w:suppressAutoHyphens/>
            <w:ind w:right="187"/>
            <w:rPr>
              <w:rFonts w:asciiTheme="majorHAnsi" w:hAnsiTheme="majorHAnsi"/>
              <w:color w:val="092D74"/>
              <w:sz w:val="14"/>
              <w:szCs w:val="18"/>
            </w:rPr>
          </w:pPr>
        </w:p>
      </w:tc>
      <w:tc>
        <w:tcPr>
          <w:tcW w:w="3110" w:type="dxa"/>
          <w:vAlign w:val="center"/>
        </w:tcPr>
        <w:p w14:paraId="4015801D" w14:textId="77777777" w:rsidR="006F6A6C" w:rsidRPr="006B2C28" w:rsidRDefault="006F6A6C" w:rsidP="00DE3208">
          <w:pPr>
            <w:suppressAutoHyphens/>
            <w:ind w:right="187"/>
            <w:rPr>
              <w:rFonts w:asciiTheme="majorHAnsi" w:hAnsiTheme="majorHAnsi"/>
              <w:color w:val="092D74"/>
              <w:sz w:val="14"/>
              <w:szCs w:val="18"/>
            </w:rPr>
          </w:pPr>
        </w:p>
      </w:tc>
    </w:tr>
  </w:tbl>
  <w:p w14:paraId="30866343" w14:textId="4F60E5EC" w:rsidR="006F6A6C" w:rsidRDefault="006F6A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F028C69E"/>
    <w:lvl w:ilvl="0">
      <w:start w:val="8"/>
      <w:numFmt w:val="decimal"/>
      <w:pStyle w:val="Nagwek1"/>
      <w:lvlText w:val="%1."/>
      <w:lvlJc w:val="left"/>
      <w:pPr>
        <w:ind w:left="480" w:hanging="480"/>
      </w:pPr>
      <w:rPr>
        <w:rFonts w:cs="Times New Roman" w:hint="default"/>
        <w:b w:val="0"/>
        <w:sz w:val="32"/>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015449"/>
    <w:multiLevelType w:val="multilevel"/>
    <w:tmpl w:val="DE5E592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C6BE10F8"/>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0D5547"/>
    <w:multiLevelType w:val="hybridMultilevel"/>
    <w:tmpl w:val="AD66C50A"/>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 w15:restartNumberingAfterBreak="0">
    <w:nsid w:val="19A63BE3"/>
    <w:multiLevelType w:val="multilevel"/>
    <w:tmpl w:val="0FC427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DC4F612"/>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602F2"/>
    <w:multiLevelType w:val="multilevel"/>
    <w:tmpl w:val="76C04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80919"/>
    <w:multiLevelType w:val="multilevel"/>
    <w:tmpl w:val="0CEAD10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FA94BA1A"/>
    <w:lvl w:ilvl="0">
      <w:start w:val="5"/>
      <w:numFmt w:val="decimal"/>
      <w:lvlText w:val="%1."/>
      <w:lvlJc w:val="left"/>
      <w:pPr>
        <w:ind w:left="3192" w:hanging="360"/>
      </w:pPr>
      <w:rPr>
        <w:rFonts w:hint="default"/>
      </w:rPr>
    </w:lvl>
    <w:lvl w:ilvl="1">
      <w:start w:val="1"/>
      <w:numFmt w:val="decimal"/>
      <w:isLgl/>
      <w:lvlText w:val="%1.%2."/>
      <w:lvlJc w:val="left"/>
      <w:pPr>
        <w:ind w:left="720" w:hanging="720"/>
      </w:pPr>
      <w:rPr>
        <w:rFonts w:hint="default"/>
        <w:b/>
        <w:sz w:val="20"/>
        <w:szCs w:val="20"/>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014"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17" w15:restartNumberingAfterBreak="0">
    <w:nsid w:val="378F2459"/>
    <w:multiLevelType w:val="multilevel"/>
    <w:tmpl w:val="319ED4B8"/>
    <w:lvl w:ilvl="0">
      <w:start w:val="1"/>
      <w:numFmt w:val="decimal"/>
      <w:lvlText w:val="%1."/>
      <w:lvlJc w:val="left"/>
      <w:pPr>
        <w:ind w:left="360" w:hanging="360"/>
      </w:pPr>
      <w:rPr>
        <w:rFonts w:hint="default"/>
        <w:sz w:val="32"/>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CD56C5"/>
    <w:multiLevelType w:val="multilevel"/>
    <w:tmpl w:val="34306588"/>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A7A4B09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22964F8E"/>
    <w:lvl w:ilvl="0">
      <w:start w:val="3"/>
      <w:numFmt w:val="decimal"/>
      <w:lvlText w:val="%1."/>
      <w:lvlJc w:val="left"/>
      <w:pPr>
        <w:ind w:left="360" w:hanging="360"/>
      </w:pPr>
      <w:rPr>
        <w:rFonts w:hint="default"/>
      </w:rPr>
    </w:lvl>
    <w:lvl w:ilvl="1">
      <w:start w:val="1"/>
      <w:numFmt w:val="decimal"/>
      <w:lvlText w:val="%1.%2."/>
      <w:lvlJc w:val="left"/>
      <w:pPr>
        <w:ind w:left="284" w:hanging="284"/>
      </w:pPr>
      <w:rPr>
        <w:rFonts w:asciiTheme="minorHAnsi" w:hAnsiTheme="minorHAns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226426"/>
    <w:multiLevelType w:val="multilevel"/>
    <w:tmpl w:val="2A16FC8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6851457B"/>
    <w:multiLevelType w:val="multilevel"/>
    <w:tmpl w:val="09A2E91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01484"/>
    <w:multiLevelType w:val="hybridMultilevel"/>
    <w:tmpl w:val="FF920920"/>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BC16861"/>
    <w:multiLevelType w:val="multilevel"/>
    <w:tmpl w:val="192291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20600416">
    <w:abstractNumId w:val="19"/>
  </w:num>
  <w:num w:numId="2" w16cid:durableId="1522822319">
    <w:abstractNumId w:val="6"/>
  </w:num>
  <w:num w:numId="3" w16cid:durableId="1450394044">
    <w:abstractNumId w:val="13"/>
  </w:num>
  <w:num w:numId="4" w16cid:durableId="883977971">
    <w:abstractNumId w:val="20"/>
  </w:num>
  <w:num w:numId="5" w16cid:durableId="1984650117">
    <w:abstractNumId w:val="4"/>
  </w:num>
  <w:num w:numId="6" w16cid:durableId="301157539">
    <w:abstractNumId w:val="17"/>
  </w:num>
  <w:num w:numId="7" w16cid:durableId="1240209112">
    <w:abstractNumId w:val="3"/>
  </w:num>
  <w:num w:numId="8" w16cid:durableId="114298640">
    <w:abstractNumId w:val="0"/>
  </w:num>
  <w:num w:numId="9" w16cid:durableId="107359494">
    <w:abstractNumId w:val="29"/>
  </w:num>
  <w:num w:numId="10" w16cid:durableId="1459837285">
    <w:abstractNumId w:val="15"/>
  </w:num>
  <w:num w:numId="11" w16cid:durableId="1048993966">
    <w:abstractNumId w:val="9"/>
  </w:num>
  <w:num w:numId="12" w16cid:durableId="1999259721">
    <w:abstractNumId w:val="23"/>
  </w:num>
  <w:num w:numId="13" w16cid:durableId="177891002">
    <w:abstractNumId w:val="33"/>
  </w:num>
  <w:num w:numId="14" w16cid:durableId="1501627174">
    <w:abstractNumId w:val="8"/>
  </w:num>
  <w:num w:numId="15" w16cid:durableId="1585720389">
    <w:abstractNumId w:val="26"/>
  </w:num>
  <w:num w:numId="16" w16cid:durableId="972177076">
    <w:abstractNumId w:val="14"/>
  </w:num>
  <w:num w:numId="17" w16cid:durableId="1929996466">
    <w:abstractNumId w:val="5"/>
  </w:num>
  <w:num w:numId="18" w16cid:durableId="1645161347">
    <w:abstractNumId w:val="21"/>
  </w:num>
  <w:num w:numId="19" w16cid:durableId="295377583">
    <w:abstractNumId w:val="28"/>
  </w:num>
  <w:num w:numId="20" w16cid:durableId="1781996452">
    <w:abstractNumId w:val="25"/>
  </w:num>
  <w:num w:numId="21" w16cid:durableId="889731423">
    <w:abstractNumId w:val="34"/>
  </w:num>
  <w:num w:numId="22" w16cid:durableId="1584871985">
    <w:abstractNumId w:val="12"/>
  </w:num>
  <w:num w:numId="23" w16cid:durableId="199168419">
    <w:abstractNumId w:val="1"/>
  </w:num>
  <w:num w:numId="24" w16cid:durableId="147092286">
    <w:abstractNumId w:val="22"/>
  </w:num>
  <w:num w:numId="25" w16cid:durableId="1004356512">
    <w:abstractNumId w:val="24"/>
  </w:num>
  <w:num w:numId="26" w16cid:durableId="941298978">
    <w:abstractNumId w:val="27"/>
  </w:num>
  <w:num w:numId="27" w16cid:durableId="1557398366">
    <w:abstractNumId w:val="10"/>
  </w:num>
  <w:num w:numId="28" w16cid:durableId="2035501787">
    <w:abstractNumId w:val="31"/>
  </w:num>
  <w:num w:numId="29" w16cid:durableId="975374573">
    <w:abstractNumId w:val="30"/>
  </w:num>
  <w:num w:numId="30" w16cid:durableId="1017661858">
    <w:abstractNumId w:val="16"/>
  </w:num>
  <w:num w:numId="31" w16cid:durableId="1988195496">
    <w:abstractNumId w:val="32"/>
  </w:num>
  <w:num w:numId="32" w16cid:durableId="926578883">
    <w:abstractNumId w:val="18"/>
  </w:num>
  <w:num w:numId="33" w16cid:durableId="1544293989">
    <w:abstractNumId w:val="2"/>
  </w:num>
  <w:num w:numId="34" w16cid:durableId="980111027">
    <w:abstractNumId w:val="11"/>
  </w:num>
  <w:num w:numId="35" w16cid:durableId="1507860801">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51843769">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5016301">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9670013">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11191314">
    <w:abstractNumId w:val="7"/>
  </w:num>
  <w:num w:numId="40" w16cid:durableId="975138715">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3B8C"/>
    <w:rsid w:val="00036B40"/>
    <w:rsid w:val="00036D76"/>
    <w:rsid w:val="00040B6D"/>
    <w:rsid w:val="00050628"/>
    <w:rsid w:val="00051B85"/>
    <w:rsid w:val="00053092"/>
    <w:rsid w:val="00054A92"/>
    <w:rsid w:val="00056904"/>
    <w:rsid w:val="000572D8"/>
    <w:rsid w:val="00057816"/>
    <w:rsid w:val="00060EAD"/>
    <w:rsid w:val="00061676"/>
    <w:rsid w:val="00070A58"/>
    <w:rsid w:val="00071C98"/>
    <w:rsid w:val="0009045E"/>
    <w:rsid w:val="00094655"/>
    <w:rsid w:val="00094799"/>
    <w:rsid w:val="00094EB9"/>
    <w:rsid w:val="00096510"/>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250F"/>
    <w:rsid w:val="00144F62"/>
    <w:rsid w:val="00145125"/>
    <w:rsid w:val="0014785F"/>
    <w:rsid w:val="00153228"/>
    <w:rsid w:val="001562C9"/>
    <w:rsid w:val="00167B53"/>
    <w:rsid w:val="00172B93"/>
    <w:rsid w:val="00175F4C"/>
    <w:rsid w:val="001764EE"/>
    <w:rsid w:val="001844DF"/>
    <w:rsid w:val="00185AAB"/>
    <w:rsid w:val="00191583"/>
    <w:rsid w:val="00192A23"/>
    <w:rsid w:val="001974F6"/>
    <w:rsid w:val="001A4996"/>
    <w:rsid w:val="001B0061"/>
    <w:rsid w:val="001B2459"/>
    <w:rsid w:val="001D1A8B"/>
    <w:rsid w:val="001D2EB1"/>
    <w:rsid w:val="001E7E73"/>
    <w:rsid w:val="001F3242"/>
    <w:rsid w:val="001F3600"/>
    <w:rsid w:val="001F3F20"/>
    <w:rsid w:val="001F737A"/>
    <w:rsid w:val="002067F1"/>
    <w:rsid w:val="002161D3"/>
    <w:rsid w:val="00222BD7"/>
    <w:rsid w:val="00224257"/>
    <w:rsid w:val="0024291C"/>
    <w:rsid w:val="00257F22"/>
    <w:rsid w:val="00264A06"/>
    <w:rsid w:val="00265B9D"/>
    <w:rsid w:val="00270752"/>
    <w:rsid w:val="002743D5"/>
    <w:rsid w:val="002748E1"/>
    <w:rsid w:val="002768AC"/>
    <w:rsid w:val="00291495"/>
    <w:rsid w:val="002A3129"/>
    <w:rsid w:val="002A3136"/>
    <w:rsid w:val="002A48F7"/>
    <w:rsid w:val="002B51FD"/>
    <w:rsid w:val="002B5C62"/>
    <w:rsid w:val="002C470F"/>
    <w:rsid w:val="002D3B2A"/>
    <w:rsid w:val="002D4CAD"/>
    <w:rsid w:val="002F10CA"/>
    <w:rsid w:val="00303C67"/>
    <w:rsid w:val="00304DC0"/>
    <w:rsid w:val="00310CB3"/>
    <w:rsid w:val="00314047"/>
    <w:rsid w:val="00324FE3"/>
    <w:rsid w:val="00346E13"/>
    <w:rsid w:val="00347E8D"/>
    <w:rsid w:val="00347FF4"/>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5905"/>
    <w:rsid w:val="003D6C11"/>
    <w:rsid w:val="003E050D"/>
    <w:rsid w:val="003E0C6F"/>
    <w:rsid w:val="003E3CCB"/>
    <w:rsid w:val="003E59DD"/>
    <w:rsid w:val="003F132F"/>
    <w:rsid w:val="003F257A"/>
    <w:rsid w:val="0040472A"/>
    <w:rsid w:val="00405E27"/>
    <w:rsid w:val="00412E5B"/>
    <w:rsid w:val="00417E23"/>
    <w:rsid w:val="004227E0"/>
    <w:rsid w:val="004257E0"/>
    <w:rsid w:val="004367FB"/>
    <w:rsid w:val="00436F85"/>
    <w:rsid w:val="0044629B"/>
    <w:rsid w:val="00446871"/>
    <w:rsid w:val="00446E2F"/>
    <w:rsid w:val="00466493"/>
    <w:rsid w:val="00473D75"/>
    <w:rsid w:val="0047759A"/>
    <w:rsid w:val="004925D9"/>
    <w:rsid w:val="00492AEE"/>
    <w:rsid w:val="004955CB"/>
    <w:rsid w:val="00496273"/>
    <w:rsid w:val="004A723C"/>
    <w:rsid w:val="004B29F9"/>
    <w:rsid w:val="004C2303"/>
    <w:rsid w:val="004D154B"/>
    <w:rsid w:val="004D63D5"/>
    <w:rsid w:val="004E1AB0"/>
    <w:rsid w:val="004E7573"/>
    <w:rsid w:val="004F0C4A"/>
    <w:rsid w:val="004F20AD"/>
    <w:rsid w:val="004F6B10"/>
    <w:rsid w:val="00500F37"/>
    <w:rsid w:val="00517830"/>
    <w:rsid w:val="00520308"/>
    <w:rsid w:val="00526190"/>
    <w:rsid w:val="00535E9B"/>
    <w:rsid w:val="005453F1"/>
    <w:rsid w:val="00551FB7"/>
    <w:rsid w:val="005563FF"/>
    <w:rsid w:val="00562E63"/>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23B01"/>
    <w:rsid w:val="00625BB0"/>
    <w:rsid w:val="006261BB"/>
    <w:rsid w:val="006265D1"/>
    <w:rsid w:val="006341E5"/>
    <w:rsid w:val="00637E54"/>
    <w:rsid w:val="00651568"/>
    <w:rsid w:val="00652757"/>
    <w:rsid w:val="0065322E"/>
    <w:rsid w:val="00655DA8"/>
    <w:rsid w:val="0065685A"/>
    <w:rsid w:val="00660237"/>
    <w:rsid w:val="00670CE4"/>
    <w:rsid w:val="0067116D"/>
    <w:rsid w:val="0067399C"/>
    <w:rsid w:val="0067572D"/>
    <w:rsid w:val="006775EE"/>
    <w:rsid w:val="00680F7C"/>
    <w:rsid w:val="00696995"/>
    <w:rsid w:val="006A0331"/>
    <w:rsid w:val="006A4275"/>
    <w:rsid w:val="006A7D49"/>
    <w:rsid w:val="006B2A1B"/>
    <w:rsid w:val="006B2C26"/>
    <w:rsid w:val="006C17C6"/>
    <w:rsid w:val="006C4791"/>
    <w:rsid w:val="006C4B70"/>
    <w:rsid w:val="006C6089"/>
    <w:rsid w:val="006C64D7"/>
    <w:rsid w:val="006D16F1"/>
    <w:rsid w:val="006D42C8"/>
    <w:rsid w:val="006E100D"/>
    <w:rsid w:val="006E2000"/>
    <w:rsid w:val="006E5EF6"/>
    <w:rsid w:val="006F1F47"/>
    <w:rsid w:val="006F317F"/>
    <w:rsid w:val="006F5F72"/>
    <w:rsid w:val="006F6A6C"/>
    <w:rsid w:val="0070194E"/>
    <w:rsid w:val="00710355"/>
    <w:rsid w:val="00720ED1"/>
    <w:rsid w:val="007246D0"/>
    <w:rsid w:val="00726BF1"/>
    <w:rsid w:val="00727EC1"/>
    <w:rsid w:val="0073187A"/>
    <w:rsid w:val="007343BE"/>
    <w:rsid w:val="007343C5"/>
    <w:rsid w:val="00742321"/>
    <w:rsid w:val="00742807"/>
    <w:rsid w:val="0075740D"/>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023"/>
    <w:rsid w:val="00812E3F"/>
    <w:rsid w:val="00813032"/>
    <w:rsid w:val="008130D5"/>
    <w:rsid w:val="0081735D"/>
    <w:rsid w:val="008217CE"/>
    <w:rsid w:val="00827A7E"/>
    <w:rsid w:val="00831596"/>
    <w:rsid w:val="00833EC9"/>
    <w:rsid w:val="00842578"/>
    <w:rsid w:val="00847B49"/>
    <w:rsid w:val="00852695"/>
    <w:rsid w:val="008528D3"/>
    <w:rsid w:val="008548B7"/>
    <w:rsid w:val="00857549"/>
    <w:rsid w:val="008707CC"/>
    <w:rsid w:val="00870A6A"/>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14A7"/>
    <w:rsid w:val="00992FE3"/>
    <w:rsid w:val="0099653A"/>
    <w:rsid w:val="0099713D"/>
    <w:rsid w:val="009A6D93"/>
    <w:rsid w:val="009A7B36"/>
    <w:rsid w:val="009B3502"/>
    <w:rsid w:val="009B51B6"/>
    <w:rsid w:val="009B5CDA"/>
    <w:rsid w:val="009B633C"/>
    <w:rsid w:val="009C48AC"/>
    <w:rsid w:val="009C5C7C"/>
    <w:rsid w:val="009C5EA9"/>
    <w:rsid w:val="009C6FBE"/>
    <w:rsid w:val="009D1815"/>
    <w:rsid w:val="009D58D0"/>
    <w:rsid w:val="009D5A1B"/>
    <w:rsid w:val="009D7472"/>
    <w:rsid w:val="009E0A88"/>
    <w:rsid w:val="009E2CB5"/>
    <w:rsid w:val="009E4E7A"/>
    <w:rsid w:val="009E5B5E"/>
    <w:rsid w:val="00A02C84"/>
    <w:rsid w:val="00A148D6"/>
    <w:rsid w:val="00A303E8"/>
    <w:rsid w:val="00A370AB"/>
    <w:rsid w:val="00A43299"/>
    <w:rsid w:val="00A57E04"/>
    <w:rsid w:val="00A6049B"/>
    <w:rsid w:val="00A730B9"/>
    <w:rsid w:val="00A7626A"/>
    <w:rsid w:val="00A809BD"/>
    <w:rsid w:val="00A81CFB"/>
    <w:rsid w:val="00A85D6F"/>
    <w:rsid w:val="00AA134E"/>
    <w:rsid w:val="00AA3417"/>
    <w:rsid w:val="00AA6983"/>
    <w:rsid w:val="00AB0FC2"/>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6EC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69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B2D26"/>
    <w:rsid w:val="00CB3A6F"/>
    <w:rsid w:val="00CC474A"/>
    <w:rsid w:val="00CD0C0E"/>
    <w:rsid w:val="00CD2022"/>
    <w:rsid w:val="00CE2F55"/>
    <w:rsid w:val="00CE336E"/>
    <w:rsid w:val="00D03C12"/>
    <w:rsid w:val="00D10930"/>
    <w:rsid w:val="00D1247E"/>
    <w:rsid w:val="00D206B4"/>
    <w:rsid w:val="00D21BCE"/>
    <w:rsid w:val="00D46C25"/>
    <w:rsid w:val="00D516C1"/>
    <w:rsid w:val="00D6344F"/>
    <w:rsid w:val="00D80E4A"/>
    <w:rsid w:val="00D9793B"/>
    <w:rsid w:val="00DA14D4"/>
    <w:rsid w:val="00DA64DB"/>
    <w:rsid w:val="00DB1E5E"/>
    <w:rsid w:val="00DB4140"/>
    <w:rsid w:val="00DC76F0"/>
    <w:rsid w:val="00DC7E48"/>
    <w:rsid w:val="00DD06C0"/>
    <w:rsid w:val="00DE1789"/>
    <w:rsid w:val="00DE2A42"/>
    <w:rsid w:val="00DE3208"/>
    <w:rsid w:val="00DE5745"/>
    <w:rsid w:val="00DF2ED5"/>
    <w:rsid w:val="00E00ED5"/>
    <w:rsid w:val="00E0216D"/>
    <w:rsid w:val="00E12BFB"/>
    <w:rsid w:val="00E12F47"/>
    <w:rsid w:val="00E16545"/>
    <w:rsid w:val="00E2123D"/>
    <w:rsid w:val="00E30B4B"/>
    <w:rsid w:val="00E33932"/>
    <w:rsid w:val="00E413AB"/>
    <w:rsid w:val="00E41451"/>
    <w:rsid w:val="00E45F98"/>
    <w:rsid w:val="00E54385"/>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13A7"/>
    <w:rsid w:val="00F835B4"/>
    <w:rsid w:val="00F90B96"/>
    <w:rsid w:val="00FA0F6A"/>
    <w:rsid w:val="00FA2A42"/>
    <w:rsid w:val="00FB0646"/>
    <w:rsid w:val="00FB61C7"/>
    <w:rsid w:val="00FC3D28"/>
    <w:rsid w:val="00FC7BB0"/>
    <w:rsid w:val="00FD22AB"/>
    <w:rsid w:val="00FD2808"/>
    <w:rsid w:val="00FD3338"/>
    <w:rsid w:val="00FD6B19"/>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4955CB"/>
    <w:pPr>
      <w:keepNext/>
      <w:keepLines/>
      <w:numPr>
        <w:numId w:val="23"/>
      </w:numPr>
      <w:spacing w:before="480" w:after="0"/>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4955CB"/>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6867386">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Dariusz.Klimacki@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POST/DYS/OLD/GZ/04378/2025                        </dmsv2SWPP2ObjectNumber>
    <dmsv2SWPP2SumMD5 xmlns="http://schemas.microsoft.com/sharepoint/v3">4b7a08d817c9787d5a7bc6eb4c40817e</dmsv2SWPP2SumMD5>
    <dmsv2BaseMoved xmlns="http://schemas.microsoft.com/sharepoint/v3">false</dmsv2BaseMoved>
    <dmsv2BaseIsSensitive xmlns="http://schemas.microsoft.com/sharepoint/v3">true</dmsv2BaseIsSensitive>
    <dmsv2SWPP2IDSWPP2 xmlns="http://schemas.microsoft.com/sharepoint/v3">700750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23911324</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JEUP5JKVCYQC-1440096624-17303</_dlc_DocId>
    <_dlc_DocIdUrl xmlns="a19cb1c7-c5c7-46d4-85ae-d83685407bba">
      <Url>https://swpp2.dms.gkpge.pl/sites/41/_layouts/15/DocIdRedir.aspx?ID=JEUP5JKVCYQC-1440096624-17303</Url>
      <Description>JEUP5JKVCYQC-1440096624-17303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628140-0980-403A-A67B-FA0D8BFBC665}"/>
</file>

<file path=customXml/itemProps4.xml><?xml version="1.0" encoding="utf-8"?>
<ds:datastoreItem xmlns:ds="http://schemas.openxmlformats.org/officeDocument/2006/customXml" ds:itemID="{FC882DBC-AD5E-4E48-9660-7999047D34E7}">
  <ds:schemaRefs>
    <ds:schemaRef ds:uri="http://schemas.openxmlformats.org/officeDocument/2006/bibliography"/>
  </ds:schemaRefs>
</ds:datastoreItem>
</file>

<file path=customXml/itemProps5.xml><?xml version="1.0" encoding="utf-8"?>
<ds:datastoreItem xmlns:ds="http://schemas.openxmlformats.org/officeDocument/2006/customXml" ds:itemID="{F3863FAC-8582-4AA2-A3B7-935765D3ED57}"/>
</file>

<file path=docProps/app.xml><?xml version="1.0" encoding="utf-8"?>
<Properties xmlns="http://schemas.openxmlformats.org/officeDocument/2006/extended-properties" xmlns:vt="http://schemas.openxmlformats.org/officeDocument/2006/docPropsVTypes">
  <Template>PGE word swz test</Template>
  <TotalTime>320</TotalTime>
  <Pages>12</Pages>
  <Words>4369</Words>
  <Characters>26217</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47</cp:revision>
  <cp:lastPrinted>2024-07-15T11:21:00Z</cp:lastPrinted>
  <dcterms:created xsi:type="dcterms:W3CDTF">2025-03-19T08:57:00Z</dcterms:created>
  <dcterms:modified xsi:type="dcterms:W3CDTF">2025-12-04T10:04:00Z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4679cd9f-1cd6-42af-abfa-5720a2d613bd</vt:lpwstr>
  </property>
</Properties>
</file>