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688F995" w14:textId="2C028235" w:rsidR="006D6FD5" w:rsidRPr="006D6FD5" w:rsidRDefault="004F392B" w:rsidP="006D6FD5">
      <w:pPr>
        <w:pStyle w:val="Tekstpodstawowy"/>
        <w:jc w:val="center"/>
        <w:rPr>
          <w:rFonts w:asciiTheme="minorHAnsi" w:hAnsiTheme="minorHAnsi" w:cstheme="minorHAnsi"/>
          <w:b/>
          <w:bCs/>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p>
    <w:p w14:paraId="0A5366D5" w14:textId="0B7878EB" w:rsidR="00BB42EE" w:rsidRPr="004B4556" w:rsidRDefault="009D1521" w:rsidP="006D6FD5">
      <w:pPr>
        <w:pStyle w:val="Tekstpodstawowy"/>
        <w:ind w:right="26"/>
        <w:jc w:val="center"/>
        <w:rPr>
          <w:rFonts w:asciiTheme="minorHAnsi" w:hAnsiTheme="minorHAnsi" w:cstheme="minorHAnsi"/>
          <w:b/>
          <w:color w:val="17365D" w:themeColor="text2" w:themeShade="BF"/>
          <w:szCs w:val="22"/>
        </w:rPr>
      </w:pPr>
      <w:r>
        <w:rPr>
          <w:rFonts w:asciiTheme="minorHAnsi" w:hAnsiTheme="minorHAnsi" w:cstheme="minorHAnsi"/>
          <w:b/>
          <w:bCs/>
          <w:color w:val="17365D" w:themeColor="text2" w:themeShade="BF"/>
          <w:szCs w:val="22"/>
        </w:rPr>
        <w:t>POST/DYS/OLD/GZ/</w:t>
      </w:r>
      <w:r w:rsidR="007632DF">
        <w:rPr>
          <w:rFonts w:asciiTheme="minorHAnsi" w:hAnsiTheme="minorHAnsi" w:cstheme="minorHAnsi"/>
          <w:b/>
          <w:bCs/>
          <w:color w:val="17365D" w:themeColor="text2" w:themeShade="BF"/>
          <w:szCs w:val="22"/>
        </w:rPr>
        <w:t>03291</w:t>
      </w:r>
      <w:r w:rsidR="006D6FD5" w:rsidRPr="006D6FD5">
        <w:rPr>
          <w:rFonts w:asciiTheme="minorHAnsi" w:hAnsiTheme="minorHAnsi" w:cstheme="minorHAnsi"/>
          <w:b/>
          <w:bCs/>
          <w:color w:val="17365D" w:themeColor="text2" w:themeShade="BF"/>
          <w:szCs w:val="22"/>
        </w:rPr>
        <w:t>/2024</w:t>
      </w:r>
    </w:p>
    <w:p w14:paraId="7FFFE9A3" w14:textId="77777777" w:rsidR="006D6FD5" w:rsidRDefault="006D6FD5" w:rsidP="006F5538">
      <w:pPr>
        <w:pStyle w:val="Tekstpodstawowy"/>
        <w:ind w:right="26"/>
        <w:jc w:val="center"/>
        <w:rPr>
          <w:rFonts w:asciiTheme="minorHAnsi" w:hAnsiTheme="minorHAnsi" w:cstheme="minorHAnsi"/>
          <w:b/>
          <w:color w:val="17365D" w:themeColor="text2" w:themeShade="BF"/>
          <w:szCs w:val="22"/>
        </w:rPr>
      </w:pPr>
    </w:p>
    <w:p w14:paraId="4BDF044E" w14:textId="77777777" w:rsidR="006D6FD5" w:rsidRDefault="006D6FD5" w:rsidP="006F5538">
      <w:pPr>
        <w:pStyle w:val="Tekstpodstawowy"/>
        <w:ind w:right="26"/>
        <w:jc w:val="center"/>
        <w:rPr>
          <w:rFonts w:asciiTheme="minorHAnsi" w:hAnsiTheme="minorHAnsi" w:cstheme="minorHAnsi"/>
          <w:b/>
          <w:color w:val="17365D" w:themeColor="text2" w:themeShade="BF"/>
          <w:szCs w:val="22"/>
        </w:rPr>
      </w:pPr>
    </w:p>
    <w:p w14:paraId="7683C144" w14:textId="77777777" w:rsidR="006D6FD5" w:rsidRDefault="006D6FD5" w:rsidP="006F5538">
      <w:pPr>
        <w:pStyle w:val="Tekstpodstawowy"/>
        <w:ind w:right="26"/>
        <w:jc w:val="center"/>
        <w:rPr>
          <w:rFonts w:asciiTheme="minorHAnsi" w:hAnsiTheme="minorHAnsi" w:cstheme="minorHAnsi"/>
          <w:b/>
          <w:color w:val="17365D" w:themeColor="text2" w:themeShade="BF"/>
          <w:szCs w:val="22"/>
        </w:rPr>
      </w:pPr>
    </w:p>
    <w:p w14:paraId="42F28901" w14:textId="37F2BE85"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1975E074" w14:textId="460EAAB2" w:rsidR="004F392B" w:rsidRPr="004B4556" w:rsidRDefault="007632DF" w:rsidP="0038644F">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color w:val="17365D" w:themeColor="text2" w:themeShade="BF"/>
          <w:sz w:val="20"/>
        </w:rPr>
      </w:pPr>
      <w:r w:rsidRPr="007632DF">
        <w:rPr>
          <w:rFonts w:asciiTheme="minorHAnsi" w:hAnsiTheme="minorHAnsi" w:cstheme="minorHAnsi"/>
          <w:b/>
          <w:i/>
          <w:color w:val="17365D" w:themeColor="text2" w:themeShade="BF"/>
          <w:szCs w:val="22"/>
        </w:rPr>
        <w:t>Sukcesywne wykonywanie prac projektowych i robot budowlanych polegających na wykonywaniu przyłączy lub linii niskiego napięcia dla celów przyłączenia nowych odbiorców na terenie PGE Dystrybucja S.A. Oddział Łódź na obszarze działania RE Sieradz - obszar Sieradz Miasto, Sieradz Gmina, Wróblew</w:t>
      </w:r>
      <w:r w:rsidR="0038644F" w:rsidRPr="0038644F">
        <w:rPr>
          <w:rFonts w:asciiTheme="minorHAnsi" w:hAnsiTheme="minorHAnsi" w:cstheme="minorHAnsi"/>
          <w:b/>
          <w:i/>
          <w:color w:val="17365D" w:themeColor="text2" w:themeShade="BF"/>
          <w:szCs w:val="22"/>
        </w:rPr>
        <w:t xml:space="preserve"> </w:t>
      </w:r>
    </w:p>
    <w:p w14:paraId="21DA7C43" w14:textId="77777777" w:rsidR="0038644F" w:rsidRDefault="0038644F" w:rsidP="004F392B">
      <w:pPr>
        <w:pStyle w:val="Tekstpodstawowy"/>
        <w:tabs>
          <w:tab w:val="right" w:pos="9072"/>
        </w:tabs>
        <w:jc w:val="center"/>
        <w:rPr>
          <w:rFonts w:asciiTheme="minorHAnsi" w:hAnsiTheme="minorHAnsi" w:cstheme="minorHAnsi"/>
          <w:color w:val="17365D" w:themeColor="text2" w:themeShade="BF"/>
          <w:sz w:val="20"/>
        </w:rPr>
      </w:pPr>
    </w:p>
    <w:p w14:paraId="5A498557" w14:textId="77777777" w:rsidR="0038644F" w:rsidRDefault="0038644F" w:rsidP="004F392B">
      <w:pPr>
        <w:pStyle w:val="Tekstpodstawowy"/>
        <w:tabs>
          <w:tab w:val="right" w:pos="9072"/>
        </w:tabs>
        <w:jc w:val="center"/>
        <w:rPr>
          <w:rFonts w:asciiTheme="minorHAnsi" w:hAnsiTheme="minorHAnsi" w:cstheme="minorHAnsi"/>
          <w:color w:val="17365D" w:themeColor="text2" w:themeShade="BF"/>
          <w:sz w:val="20"/>
        </w:rPr>
      </w:pPr>
    </w:p>
    <w:p w14:paraId="578DAD90" w14:textId="0E6C723C"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7632DF">
        <w:rPr>
          <w:rFonts w:asciiTheme="minorHAnsi" w:hAnsiTheme="minorHAnsi" w:cstheme="minorHAnsi"/>
          <w:color w:val="17365D" w:themeColor="text2" w:themeShade="BF"/>
          <w:sz w:val="20"/>
        </w:rPr>
        <w:t>listopad</w:t>
      </w:r>
      <w:r w:rsidR="00947648">
        <w:rPr>
          <w:rFonts w:asciiTheme="minorHAnsi" w:hAnsiTheme="minorHAnsi" w:cstheme="minorHAnsi"/>
          <w:color w:val="17365D" w:themeColor="text2" w:themeShade="BF"/>
          <w:sz w:val="20"/>
        </w:rPr>
        <w:t xml:space="preserve"> 2024</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E763F9">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E763F9">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E763F9">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E763F9">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E763F9">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E763F9">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E763F9">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E763F9">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E763F9">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E763F9">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E763F9">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E763F9">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E763F9">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E763F9">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E763F9">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E763F9"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E763F9">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77777777"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77777777"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77777777"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p>
    <w:p w14:paraId="67E8312D"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lastRenderedPageBreak/>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E763F9"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E763F9"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4E92865"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E763F9"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777777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33973B53" w14:textId="77777777" w:rsidR="007632DF" w:rsidRPr="007632DF" w:rsidRDefault="005712F0" w:rsidP="007632DF">
      <w:pPr>
        <w:pStyle w:val="Akapitzlist"/>
        <w:numPr>
          <w:ilvl w:val="1"/>
          <w:numId w:val="2"/>
        </w:numPr>
        <w:spacing w:before="120" w:line="24" w:lineRule="atLeast"/>
        <w:outlineLvl w:val="0"/>
        <w:rPr>
          <w:rFonts w:asciiTheme="minorHAnsi" w:hAnsiTheme="minorHAnsi" w:cstheme="minorHAnsi"/>
          <w:b/>
          <w:bCs/>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7632DF">
        <w:rPr>
          <w:rFonts w:asciiTheme="minorHAnsi" w:hAnsiTheme="minorHAnsi" w:cstheme="minorHAnsi"/>
          <w:sz w:val="20"/>
        </w:rPr>
        <w:t xml:space="preserve">Przedmiotem </w:t>
      </w:r>
      <w:bookmarkEnd w:id="51"/>
      <w:r w:rsidR="00563AA7" w:rsidRPr="007632DF">
        <w:rPr>
          <w:rFonts w:asciiTheme="minorHAnsi" w:hAnsiTheme="minorHAnsi" w:cstheme="minorHAnsi"/>
          <w:sz w:val="20"/>
        </w:rPr>
        <w:t>postępowania zakupowego</w:t>
      </w:r>
      <w:r w:rsidRPr="007632DF">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3F5541" w:rsidRPr="007632DF">
        <w:rPr>
          <w:rFonts w:asciiTheme="minorHAnsi" w:hAnsiTheme="minorHAnsi" w:cstheme="minorHAnsi"/>
          <w:sz w:val="20"/>
        </w:rPr>
        <w:t xml:space="preserve">jest </w:t>
      </w:r>
      <w:r w:rsidR="007632DF" w:rsidRPr="007632DF">
        <w:rPr>
          <w:rFonts w:asciiTheme="minorHAnsi" w:hAnsiTheme="minorHAnsi" w:cstheme="minorHAnsi"/>
          <w:b/>
          <w:bCs/>
          <w:sz w:val="20"/>
        </w:rPr>
        <w:t>Sukcesywne wykonywanie prac projektowych i robot budowlanych polegających na wykonywaniu przyłączy lub linii niskiego napięcia dla celów przyłączenia nowych odbiorców na terenie PGE Dystrybucja S.A. Oddział Łódź na obszarze działania RE Sieradz - obszar Sieradz Miasto, Sieradz Gmina, Wróblew</w:t>
      </w:r>
    </w:p>
    <w:p w14:paraId="42E1CE5C" w14:textId="641FD0B9" w:rsidR="00264F36" w:rsidRPr="007632DF" w:rsidRDefault="00264F36" w:rsidP="00EE7DEF">
      <w:pPr>
        <w:pStyle w:val="Akapitzlist"/>
        <w:numPr>
          <w:ilvl w:val="1"/>
          <w:numId w:val="2"/>
        </w:numPr>
        <w:spacing w:before="120" w:line="24" w:lineRule="atLeast"/>
        <w:outlineLvl w:val="0"/>
        <w:rPr>
          <w:rFonts w:asciiTheme="minorHAnsi" w:hAnsiTheme="minorHAnsi" w:cstheme="minorHAnsi"/>
          <w:sz w:val="20"/>
        </w:rPr>
      </w:pPr>
      <w:r w:rsidRPr="007632DF">
        <w:rPr>
          <w:rFonts w:asciiTheme="minorHAnsi" w:hAnsiTheme="minorHAnsi" w:cstheme="minorHAnsi"/>
          <w:sz w:val="20"/>
        </w:rPr>
        <w:t>Zamawiający nie dopuszcza składania ofert częściowych, ani ofert wariantowych.</w:t>
      </w:r>
    </w:p>
    <w:p w14:paraId="3052255F" w14:textId="74CEF4CD" w:rsidR="00E01856" w:rsidRDefault="005712F0" w:rsidP="001F2DA3">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Pr="001919C7">
        <w:rPr>
          <w:rFonts w:asciiTheme="minorHAnsi" w:hAnsiTheme="minorHAnsi" w:cstheme="minorHAnsi"/>
          <w:sz w:val="20"/>
        </w:rPr>
        <w:t xml:space="preserve"> zostały określone w załączonym 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lastRenderedPageBreak/>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468B40C8" w14:textId="2814E900" w:rsidR="00264F36" w:rsidRPr="00CF6A47" w:rsidRDefault="00264F36" w:rsidP="00264F36">
      <w:pPr>
        <w:pStyle w:val="Akapitzlist"/>
        <w:numPr>
          <w:ilvl w:val="1"/>
          <w:numId w:val="14"/>
        </w:numPr>
        <w:spacing w:before="120" w:line="24" w:lineRule="atLeast"/>
        <w:outlineLvl w:val="0"/>
        <w:rPr>
          <w:rFonts w:asciiTheme="minorHAnsi" w:hAnsiTheme="minorHAnsi" w:cstheme="minorHAnsi"/>
          <w:sz w:val="20"/>
        </w:rPr>
      </w:pPr>
      <w:bookmarkStart w:id="67" w:name="_Toc354752376"/>
      <w:bookmarkStart w:id="68" w:name="_Toc516581596"/>
      <w:bookmarkStart w:id="69" w:name="_Toc516738801"/>
      <w:bookmarkStart w:id="70" w:name="_Toc69029867"/>
      <w:r w:rsidRPr="00CF6A47">
        <w:rPr>
          <w:rFonts w:asciiTheme="minorHAnsi" w:hAnsiTheme="minorHAnsi" w:cstheme="minorHAnsi"/>
          <w:sz w:val="20"/>
        </w:rPr>
        <w:t xml:space="preserve">    </w:t>
      </w:r>
      <w:r w:rsidRPr="00CF6A47">
        <w:rPr>
          <w:rFonts w:asciiTheme="minorHAnsi" w:hAnsiTheme="minorHAnsi" w:cstheme="minorHAnsi"/>
          <w:sz w:val="20"/>
          <w:u w:val="single"/>
        </w:rPr>
        <w:t xml:space="preserve">Wykonawca zobowiązany będzie do wniesienia wadium przed upływem terminu składania ofert </w:t>
      </w:r>
      <w:r w:rsidRPr="00CF6A47">
        <w:rPr>
          <w:rFonts w:asciiTheme="minorHAnsi" w:hAnsiTheme="minorHAnsi" w:cstheme="minorHAnsi"/>
          <w:sz w:val="20"/>
          <w:u w:val="single"/>
        </w:rPr>
        <w:br/>
      </w:r>
      <w:r w:rsidRPr="00CF6A47">
        <w:rPr>
          <w:rFonts w:asciiTheme="minorHAnsi" w:hAnsiTheme="minorHAnsi" w:cstheme="minorHAnsi"/>
          <w:sz w:val="20"/>
        </w:rPr>
        <w:t xml:space="preserve">    </w:t>
      </w:r>
      <w:r w:rsidRPr="00CF6A47">
        <w:rPr>
          <w:rFonts w:asciiTheme="minorHAnsi" w:hAnsiTheme="minorHAnsi" w:cstheme="minorHAnsi"/>
          <w:sz w:val="20"/>
          <w:u w:val="single"/>
        </w:rPr>
        <w:t xml:space="preserve">w wysokości: </w:t>
      </w:r>
      <w:r w:rsidR="00C91041">
        <w:rPr>
          <w:rFonts w:asciiTheme="minorHAnsi" w:hAnsiTheme="minorHAnsi" w:cstheme="minorHAnsi"/>
          <w:b/>
          <w:sz w:val="20"/>
          <w:u w:val="single"/>
        </w:rPr>
        <w:t>5</w:t>
      </w:r>
      <w:r w:rsidRPr="00CF6A47">
        <w:rPr>
          <w:rFonts w:asciiTheme="minorHAnsi" w:hAnsiTheme="minorHAnsi" w:cstheme="minorHAnsi"/>
          <w:b/>
          <w:sz w:val="20"/>
          <w:u w:val="single"/>
        </w:rPr>
        <w:t> 000,00 zł</w:t>
      </w:r>
    </w:p>
    <w:p w14:paraId="3A226FD5"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1" w:name="_Toc516566320"/>
      <w:bookmarkStart w:id="72" w:name="_Toc516581588"/>
      <w:bookmarkStart w:id="73" w:name="_Toc516734761"/>
      <w:bookmarkStart w:id="74" w:name="_Toc516738791"/>
      <w:r w:rsidRPr="004B4556">
        <w:rPr>
          <w:rFonts w:asciiTheme="minorHAnsi" w:hAnsiTheme="minorHAnsi" w:cstheme="minorHAnsi"/>
          <w:sz w:val="20"/>
        </w:rPr>
        <w:t>Wadium wnosi się na</w:t>
      </w:r>
      <w:r w:rsidRPr="004B4556">
        <w:rPr>
          <w:rFonts w:asciiTheme="minorHAnsi" w:hAnsiTheme="minorHAnsi" w:cstheme="minorHAnsi"/>
          <w:bCs/>
          <w:sz w:val="20"/>
        </w:rPr>
        <w:t xml:space="preserve"> cały</w:t>
      </w:r>
      <w:r w:rsidRPr="004B4556">
        <w:rPr>
          <w:rFonts w:asciiTheme="minorHAnsi" w:hAnsiTheme="minorHAnsi" w:cstheme="minorHAnsi"/>
          <w:sz w:val="20"/>
        </w:rPr>
        <w:t xml:space="preserve"> okres związania ofertą</w:t>
      </w:r>
      <w:r w:rsidRPr="004B4556">
        <w:rPr>
          <w:rFonts w:asciiTheme="minorHAnsi" w:hAnsiTheme="minorHAnsi" w:cstheme="minorHAnsi"/>
          <w:bCs/>
          <w:sz w:val="20"/>
        </w:rPr>
        <w:t>.</w:t>
      </w:r>
      <w:bookmarkEnd w:id="71"/>
      <w:bookmarkEnd w:id="72"/>
      <w:bookmarkEnd w:id="73"/>
      <w:bookmarkEnd w:id="74"/>
    </w:p>
    <w:p w14:paraId="5629082F"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5" w:name="_Toc516566321"/>
      <w:bookmarkStart w:id="76" w:name="_Toc516581589"/>
      <w:bookmarkStart w:id="77" w:name="_Toc516734762"/>
      <w:bookmarkStart w:id="78" w:name="_Toc516738792"/>
      <w:r w:rsidRPr="004B4556">
        <w:rPr>
          <w:rFonts w:asciiTheme="minorHAnsi" w:hAnsiTheme="minorHAnsi" w:cstheme="minorHAnsi"/>
          <w:sz w:val="20"/>
        </w:rPr>
        <w:t>Wadium może być wnoszone w jednej lub kilku formach:</w:t>
      </w:r>
      <w:bookmarkEnd w:id="75"/>
      <w:bookmarkEnd w:id="76"/>
      <w:bookmarkEnd w:id="77"/>
      <w:bookmarkEnd w:id="78"/>
    </w:p>
    <w:p w14:paraId="7F2BC9B0"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4DE5643D"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74436960" w14:textId="77777777" w:rsidR="00C751AA" w:rsidRPr="004B4556" w:rsidRDefault="00C751AA" w:rsidP="00C751AA">
      <w:pPr>
        <w:pStyle w:val="Tekstpodstawowy"/>
        <w:numPr>
          <w:ilvl w:val="2"/>
          <w:numId w:val="25"/>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592E7352" w14:textId="77777777" w:rsidR="00C751AA" w:rsidRPr="004B4556" w:rsidRDefault="00C751AA" w:rsidP="00C751AA">
      <w:pPr>
        <w:pStyle w:val="Akapitzlist"/>
        <w:numPr>
          <w:ilvl w:val="1"/>
          <w:numId w:val="14"/>
        </w:numPr>
        <w:spacing w:before="120" w:line="24" w:lineRule="atLeast"/>
        <w:ind w:left="567" w:hanging="567"/>
        <w:outlineLvl w:val="0"/>
        <w:rPr>
          <w:rFonts w:asciiTheme="minorHAnsi" w:hAnsiTheme="minorHAnsi" w:cstheme="minorHAnsi"/>
          <w:sz w:val="20"/>
        </w:rPr>
      </w:pPr>
      <w:bookmarkStart w:id="79" w:name="_Toc516566322"/>
      <w:bookmarkStart w:id="80" w:name="_Toc516581590"/>
      <w:bookmarkStart w:id="81" w:name="_Toc516734763"/>
      <w:bookmarkStart w:id="82"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79"/>
      <w:bookmarkEnd w:id="80"/>
      <w:bookmarkEnd w:id="81"/>
      <w:bookmarkEnd w:id="82"/>
    </w:p>
    <w:p w14:paraId="660AFCE9" w14:textId="77777777" w:rsidR="00C751AA" w:rsidRPr="004B4556" w:rsidRDefault="00C751AA" w:rsidP="00C751AA">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83" w:name="_Toc516566323"/>
      <w:bookmarkStart w:id="84" w:name="_Toc516581591"/>
      <w:bookmarkStart w:id="85" w:name="_Toc516734764"/>
      <w:bookmarkStart w:id="86" w:name="_Toc516738794"/>
      <w:r w:rsidRPr="004B4556">
        <w:rPr>
          <w:rFonts w:asciiTheme="minorHAnsi" w:hAnsiTheme="minorHAnsi" w:cstheme="minorHAnsi"/>
          <w:sz w:val="20"/>
        </w:rPr>
        <w:t>Wadium w pieniądzu należy wnieść na konto:</w:t>
      </w:r>
      <w:bookmarkEnd w:id="83"/>
      <w:bookmarkEnd w:id="84"/>
      <w:bookmarkEnd w:id="85"/>
      <w:bookmarkEnd w:id="86"/>
    </w:p>
    <w:p w14:paraId="4E95549B" w14:textId="77777777" w:rsidR="00C751AA" w:rsidRPr="004B4556" w:rsidRDefault="00C751AA" w:rsidP="00C751AA">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51DB8F9B" w14:textId="77777777" w:rsidR="00C751AA" w:rsidRPr="004B4556" w:rsidRDefault="00C751AA" w:rsidP="00C751AA">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4C116E">
        <w:rPr>
          <w:rFonts w:asciiTheme="minorHAnsi" w:hAnsiTheme="minorHAnsi" w:cstheme="minorHAnsi"/>
          <w:b/>
          <w:sz w:val="20"/>
        </w:rPr>
        <w:t>50 1240 6292 1111 0010 3590 2954</w:t>
      </w:r>
    </w:p>
    <w:p w14:paraId="6F210A38" w14:textId="24318B9D" w:rsidR="00C751AA" w:rsidRPr="006D6FD5" w:rsidRDefault="00C751AA" w:rsidP="006D6FD5">
      <w:pPr>
        <w:autoSpaceDE w:val="0"/>
        <w:autoSpaceDN w:val="0"/>
        <w:spacing w:before="120" w:after="120" w:line="24" w:lineRule="atLeast"/>
        <w:ind w:firstLine="567"/>
        <w:jc w:val="left"/>
        <w:rPr>
          <w:rFonts w:asciiTheme="minorHAnsi" w:hAnsiTheme="minorHAnsi" w:cstheme="minorHAnsi"/>
          <w:b/>
          <w:bCs/>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nr postępowania </w:t>
      </w:r>
      <w:r w:rsidR="007632DF">
        <w:rPr>
          <w:rFonts w:asciiTheme="minorHAnsi" w:hAnsiTheme="minorHAnsi" w:cstheme="minorHAnsi"/>
          <w:b/>
          <w:bCs/>
          <w:sz w:val="20"/>
        </w:rPr>
        <w:t>POST/DYS/OLD/GZ/03291</w:t>
      </w:r>
      <w:r w:rsidR="006D6FD5" w:rsidRPr="006D6FD5">
        <w:rPr>
          <w:rFonts w:asciiTheme="minorHAnsi" w:hAnsiTheme="minorHAnsi" w:cstheme="minorHAnsi"/>
          <w:b/>
          <w:bCs/>
          <w:sz w:val="20"/>
        </w:rPr>
        <w:t>/2024</w:t>
      </w:r>
      <w:r>
        <w:rPr>
          <w:rFonts w:asciiTheme="minorHAnsi" w:hAnsiTheme="minorHAnsi" w:cstheme="minorHAnsi"/>
          <w:b/>
          <w:sz w:val="20"/>
        </w:rPr>
        <w:t xml:space="preserve">                            </w:t>
      </w:r>
    </w:p>
    <w:p w14:paraId="6191E92C" w14:textId="42763CCB" w:rsidR="00C751AA"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87" w:name="_Toc516566324"/>
      <w:bookmarkStart w:id="88" w:name="_Toc516581592"/>
      <w:bookmarkStart w:id="89" w:name="_Toc516734765"/>
      <w:bookmarkStart w:id="90" w:name="_Toc516738795"/>
      <w:r w:rsidRPr="004B4556">
        <w:rPr>
          <w:rFonts w:asciiTheme="minorHAnsi" w:hAnsiTheme="minorHAnsi" w:cstheme="minorHAnsi"/>
          <w:sz w:val="20"/>
        </w:rPr>
        <w:t>W przypadku, gdy Wykonawca wnosi wad</w:t>
      </w:r>
      <w:r w:rsidR="002713A0">
        <w:rPr>
          <w:rFonts w:asciiTheme="minorHAnsi" w:hAnsiTheme="minorHAnsi" w:cstheme="minorHAnsi"/>
          <w:sz w:val="20"/>
        </w:rPr>
        <w:t xml:space="preserve">ium w formie gwarancji bankowej lub </w:t>
      </w:r>
      <w:r w:rsidRPr="004B4556">
        <w:rPr>
          <w:rFonts w:asciiTheme="minorHAnsi" w:hAnsiTheme="minorHAnsi" w:cstheme="minorHAnsi"/>
          <w:sz w:val="20"/>
        </w:rPr>
        <w:t xml:space="preserve">gwarancji </w:t>
      </w:r>
      <w:r w:rsidR="002713A0">
        <w:rPr>
          <w:rFonts w:asciiTheme="minorHAnsi" w:hAnsiTheme="minorHAnsi" w:cstheme="minorHAnsi"/>
          <w:sz w:val="20"/>
        </w:rPr>
        <w:t>ubezpieczeniowej</w:t>
      </w:r>
      <w:r w:rsidRPr="004B4556">
        <w:rPr>
          <w:rFonts w:asciiTheme="minorHAnsi" w:hAnsiTheme="minorHAnsi" w:cstheme="minorHAnsi"/>
          <w:sz w:val="20"/>
        </w:rPr>
        <w:t>,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87"/>
      <w:bookmarkEnd w:id="88"/>
      <w:bookmarkEnd w:id="89"/>
      <w:bookmarkEnd w:id="90"/>
    </w:p>
    <w:p w14:paraId="35AB2D4E" w14:textId="3FB2FE68" w:rsidR="00C751AA" w:rsidRPr="00264F36" w:rsidRDefault="00684F68" w:rsidP="00264F36">
      <w:pPr>
        <w:pStyle w:val="Akapitzlist"/>
        <w:numPr>
          <w:ilvl w:val="1"/>
          <w:numId w:val="14"/>
        </w:numPr>
        <w:spacing w:before="120" w:after="120" w:line="240" w:lineRule="auto"/>
        <w:contextualSpacing w:val="0"/>
        <w:outlineLvl w:val="0"/>
        <w:rPr>
          <w:rFonts w:asciiTheme="minorHAnsi" w:hAnsiTheme="minorHAnsi" w:cstheme="minorHAnsi"/>
          <w:sz w:val="20"/>
        </w:rPr>
      </w:pPr>
      <w:bookmarkStart w:id="91" w:name="_Toc516566325"/>
      <w:bookmarkStart w:id="92" w:name="_Toc516581593"/>
      <w:bookmarkStart w:id="93" w:name="_Toc516734766"/>
      <w:bookmarkStart w:id="94" w:name="_Toc516738796"/>
      <w:r>
        <w:rPr>
          <w:rFonts w:asciiTheme="minorHAnsi" w:hAnsiTheme="minorHAnsi" w:cstheme="minorHAnsi"/>
          <w:sz w:val="20"/>
        </w:rPr>
        <w:t xml:space="preserve"> </w:t>
      </w:r>
      <w:r w:rsidR="00264F36">
        <w:rPr>
          <w:rFonts w:asciiTheme="minorHAnsi" w:hAnsiTheme="minorHAnsi" w:cstheme="minorHAnsi"/>
          <w:sz w:val="20"/>
        </w:rPr>
        <w:t xml:space="preserve">   </w:t>
      </w:r>
      <w:r w:rsidR="00C751AA" w:rsidRPr="00B634A2">
        <w:rPr>
          <w:rFonts w:asciiTheme="minorHAnsi" w:hAnsiTheme="minorHAnsi" w:cstheme="minorHAnsi"/>
          <w:sz w:val="20"/>
        </w:rPr>
        <w:t>W przypadku wniesienia wadi</w:t>
      </w:r>
      <w:r w:rsidR="00C751AA">
        <w:rPr>
          <w:rFonts w:asciiTheme="minorHAnsi" w:hAnsiTheme="minorHAnsi" w:cstheme="minorHAnsi"/>
          <w:sz w:val="20"/>
        </w:rPr>
        <w:t>um w formie innej niż pieniądz,</w:t>
      </w:r>
      <w:r w:rsidR="00C751AA" w:rsidRPr="00B634A2">
        <w:rPr>
          <w:rFonts w:asciiTheme="minorHAnsi" w:hAnsiTheme="minorHAnsi" w:cstheme="minorHAnsi"/>
          <w:sz w:val="20"/>
        </w:rPr>
        <w:t xml:space="preserve"> wymagane</w:t>
      </w:r>
      <w:r w:rsidR="00264F36">
        <w:rPr>
          <w:rFonts w:asciiTheme="minorHAnsi" w:hAnsiTheme="minorHAnsi" w:cstheme="minorHAnsi"/>
          <w:sz w:val="20"/>
        </w:rPr>
        <w:t xml:space="preserve"> jest złożenie wraz z Ofertą za</w:t>
      </w:r>
      <w:r w:rsidR="00264F36" w:rsidRPr="00264F36">
        <w:rPr>
          <w:rFonts w:asciiTheme="minorHAnsi" w:hAnsiTheme="minorHAnsi" w:cstheme="minorHAnsi"/>
          <w:sz w:val="20"/>
        </w:rPr>
        <w:t xml:space="preserve">     </w:t>
      </w:r>
      <w:r w:rsidR="00264F36">
        <w:rPr>
          <w:rFonts w:asciiTheme="minorHAnsi" w:hAnsiTheme="minorHAnsi" w:cstheme="minorHAnsi"/>
          <w:sz w:val="20"/>
        </w:rPr>
        <w:t xml:space="preserve">            </w:t>
      </w:r>
      <w:r w:rsidR="00C751AA" w:rsidRPr="00264F36">
        <w:rPr>
          <w:rFonts w:asciiTheme="minorHAnsi" w:hAnsiTheme="minorHAnsi" w:cstheme="minorHAnsi"/>
          <w:sz w:val="20"/>
        </w:rPr>
        <w:t>pośrednictwem Systemu Zakupowego oryginału właściwego dokumentu w formie elektronicznej, tj. opatrzonego kwalifikowanym podpisem elektronicznym osób upoważnionych do jego wystawienia ze strony gwaranta.</w:t>
      </w:r>
      <w:bookmarkEnd w:id="91"/>
      <w:bookmarkEnd w:id="92"/>
      <w:bookmarkEnd w:id="93"/>
      <w:bookmarkEnd w:id="94"/>
      <w:r w:rsidR="00C751AA" w:rsidRPr="00264F36">
        <w:rPr>
          <w:rFonts w:asciiTheme="minorHAnsi" w:hAnsiTheme="minorHAnsi" w:cstheme="minorHAnsi"/>
          <w:sz w:val="20"/>
        </w:rPr>
        <w:t xml:space="preserve"> Oryginał gwarancji wystawionej w formie elektronicznej należy umieścić w Systemie Zakupowym SWPP2 jako osobny plik.</w:t>
      </w:r>
    </w:p>
    <w:p w14:paraId="02F5C788" w14:textId="77777777" w:rsidR="00C751AA" w:rsidRPr="003157EB"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29F456BE" w14:textId="77777777" w:rsidR="00C751AA" w:rsidRPr="006A47E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PGE Dystrybucja S.A. Oddział Łódź</w:t>
      </w:r>
    </w:p>
    <w:p w14:paraId="1DB0828E" w14:textId="77777777" w:rsidR="00C751AA" w:rsidRPr="006A47E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z siedzibą w Łodzi,</w:t>
      </w:r>
    </w:p>
    <w:p w14:paraId="178D4FAA" w14:textId="77777777" w:rsidR="00C751AA" w:rsidRDefault="00C751AA" w:rsidP="00C751AA">
      <w:pPr>
        <w:spacing w:after="200" w:line="240" w:lineRule="auto"/>
        <w:ind w:left="284"/>
        <w:contextualSpacing/>
        <w:jc w:val="center"/>
        <w:rPr>
          <w:rFonts w:asciiTheme="minorHAnsi" w:hAnsiTheme="minorHAnsi" w:cstheme="minorHAnsi"/>
          <w:sz w:val="20"/>
        </w:rPr>
      </w:pPr>
      <w:r w:rsidRPr="006A47EE">
        <w:rPr>
          <w:rFonts w:asciiTheme="minorHAnsi" w:hAnsiTheme="minorHAnsi" w:cstheme="minorHAnsi"/>
          <w:sz w:val="20"/>
        </w:rPr>
        <w:t>ul. Tuwima 58</w:t>
      </w:r>
    </w:p>
    <w:p w14:paraId="2335EA93" w14:textId="77777777" w:rsidR="00C751AA" w:rsidRPr="004C116E" w:rsidRDefault="00C751AA" w:rsidP="00C751AA">
      <w:pPr>
        <w:spacing w:after="200" w:line="240" w:lineRule="auto"/>
        <w:ind w:left="284"/>
        <w:contextualSpacing/>
        <w:jc w:val="center"/>
        <w:rPr>
          <w:rFonts w:asciiTheme="minorHAnsi" w:hAnsiTheme="minorHAnsi" w:cstheme="minorHAnsi"/>
          <w:b/>
          <w:sz w:val="20"/>
        </w:rPr>
      </w:pPr>
      <w:r w:rsidRPr="006A47EE">
        <w:rPr>
          <w:rFonts w:asciiTheme="minorHAnsi" w:hAnsiTheme="minorHAnsi" w:cstheme="minorHAnsi"/>
          <w:sz w:val="20"/>
        </w:rPr>
        <w:t>90-021 Łódź</w:t>
      </w:r>
    </w:p>
    <w:p w14:paraId="6674DD9F" w14:textId="1B2DFC8A" w:rsidR="00C751AA" w:rsidRPr="00CF6A47" w:rsidRDefault="00C751AA" w:rsidP="006D6FD5">
      <w:pPr>
        <w:spacing w:line="240" w:lineRule="auto"/>
        <w:ind w:left="567"/>
        <w:rPr>
          <w:rFonts w:asciiTheme="minorHAnsi" w:hAnsiTheme="minorHAnsi" w:cstheme="minorHAnsi"/>
          <w:b/>
          <w:sz w:val="20"/>
        </w:rPr>
      </w:pPr>
      <w:r w:rsidRPr="003157EB">
        <w:rPr>
          <w:rFonts w:asciiTheme="minorHAnsi" w:hAnsiTheme="minorHAnsi" w:cstheme="minorHAnsi"/>
          <w:sz w:val="20"/>
        </w:rPr>
        <w:t xml:space="preserve">z dopiskiem: „dot. Oferty do Postępowania </w:t>
      </w:r>
      <w:r>
        <w:rPr>
          <w:rFonts w:asciiTheme="minorHAnsi" w:hAnsiTheme="minorHAnsi" w:cstheme="minorHAnsi"/>
          <w:sz w:val="20"/>
        </w:rPr>
        <w:t xml:space="preserve">zakupowego </w:t>
      </w:r>
      <w:r w:rsidRPr="003157EB">
        <w:rPr>
          <w:rFonts w:asciiTheme="minorHAnsi" w:hAnsiTheme="minorHAnsi" w:cstheme="minorHAnsi"/>
          <w:sz w:val="20"/>
        </w:rPr>
        <w:t xml:space="preserve">nr </w:t>
      </w:r>
      <w:r w:rsidR="006D6FD5" w:rsidRPr="006D6FD5">
        <w:rPr>
          <w:rFonts w:asciiTheme="minorHAnsi" w:hAnsiTheme="minorHAnsi" w:cstheme="minorHAnsi"/>
          <w:b/>
          <w:sz w:val="20"/>
        </w:rPr>
        <w:t>POST/DYS/OLD/</w:t>
      </w:r>
      <w:r w:rsidR="007632DF">
        <w:rPr>
          <w:rFonts w:asciiTheme="minorHAnsi" w:hAnsiTheme="minorHAnsi" w:cstheme="minorHAnsi"/>
          <w:b/>
          <w:sz w:val="20"/>
        </w:rPr>
        <w:t>GZ/03281</w:t>
      </w:r>
      <w:r w:rsidR="006D6FD5" w:rsidRPr="006D6FD5">
        <w:rPr>
          <w:rFonts w:asciiTheme="minorHAnsi" w:hAnsiTheme="minorHAnsi" w:cstheme="minorHAnsi"/>
          <w:b/>
          <w:sz w:val="20"/>
        </w:rPr>
        <w:t>/2024</w:t>
      </w:r>
      <w:r w:rsidR="006D6FD5">
        <w:rPr>
          <w:rFonts w:asciiTheme="minorHAnsi" w:hAnsiTheme="minorHAnsi" w:cstheme="minorHAnsi"/>
          <w:b/>
          <w:sz w:val="20"/>
        </w:rPr>
        <w:t xml:space="preserve"> </w:t>
      </w:r>
      <w:r w:rsidRPr="003157EB">
        <w:rPr>
          <w:rFonts w:asciiTheme="minorHAnsi" w:hAnsiTheme="minorHAnsi" w:cstheme="minorHAnsi"/>
          <w:sz w:val="20"/>
        </w:rPr>
        <w:t xml:space="preserve">nazwa: </w:t>
      </w:r>
      <w:r w:rsidR="007632DF" w:rsidRPr="007632DF">
        <w:rPr>
          <w:rFonts w:asciiTheme="minorHAnsi" w:hAnsiTheme="minorHAnsi" w:cstheme="minorHAnsi"/>
          <w:b/>
          <w:sz w:val="20"/>
        </w:rPr>
        <w:t>Sukcesywne wykonywanie prac projektowych i robot budowlanych polegających na wykonywaniu przyłączy lub linii niskiego napięcia dla celów przyłączenia nowych odbiorców na terenie PGE Dystrybucja S.A. Oddział Łódź na obszarze działania RE Sieradz - obszar Sieradz Miasto, Sieradz Gmina, Wróblew</w:t>
      </w:r>
    </w:p>
    <w:p w14:paraId="2C66FCE5" w14:textId="77777777" w:rsidR="00C751AA" w:rsidRPr="003157EB" w:rsidRDefault="00C751AA" w:rsidP="00C751AA">
      <w:pPr>
        <w:spacing w:line="240" w:lineRule="auto"/>
        <w:ind w:left="567"/>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0600B8C2" w14:textId="77777777" w:rsidR="00C751AA" w:rsidRDefault="00C751AA" w:rsidP="00C751AA">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4BC9C9A" w14:textId="77777777" w:rsidR="00C751AA" w:rsidRPr="003157EB" w:rsidRDefault="00C751AA" w:rsidP="00C751AA">
      <w:pPr>
        <w:spacing w:line="240" w:lineRule="auto"/>
        <w:ind w:left="567"/>
        <w:rPr>
          <w:rFonts w:asciiTheme="minorHAnsi" w:hAnsiTheme="minorHAnsi" w:cstheme="minorHAnsi"/>
          <w:sz w:val="20"/>
        </w:rPr>
      </w:pPr>
    </w:p>
    <w:p w14:paraId="32D0ADA4" w14:textId="77777777" w:rsidR="00C751AA" w:rsidRPr="00C46600" w:rsidRDefault="00C751AA" w:rsidP="00C751AA">
      <w:pPr>
        <w:pStyle w:val="Akapitzlist"/>
        <w:numPr>
          <w:ilvl w:val="1"/>
          <w:numId w:val="14"/>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t>W przypadku wniesienia wadium w formie pieniężnej zaleca się złożenie wraz z Ofertą dowodu jego wniesienia (tj. potwierdzenie przelewu).</w:t>
      </w:r>
    </w:p>
    <w:p w14:paraId="0AA2436C" w14:textId="77777777" w:rsidR="00C751AA" w:rsidRPr="00C46600"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5" w:name="_Toc516566326"/>
      <w:bookmarkStart w:id="96" w:name="_Toc516581594"/>
      <w:bookmarkStart w:id="97" w:name="_Toc516734767"/>
      <w:bookmarkStart w:id="98" w:name="_Toc516738797"/>
      <w:r w:rsidRPr="00C46600">
        <w:rPr>
          <w:rFonts w:asciiTheme="minorHAnsi" w:hAnsiTheme="minorHAnsi" w:cstheme="minorHAnsi"/>
          <w:sz w:val="20"/>
        </w:rPr>
        <w:t>Brak wniesionego wadium w terminie lub w sposób określony w SWZ spowoduje odrzucenie oferty.</w:t>
      </w:r>
      <w:bookmarkEnd w:id="95"/>
      <w:bookmarkEnd w:id="96"/>
      <w:bookmarkEnd w:id="97"/>
      <w:bookmarkEnd w:id="98"/>
    </w:p>
    <w:p w14:paraId="0E014DB8" w14:textId="77777777" w:rsidR="00C751AA" w:rsidRPr="004B4556"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9" w:name="_Toc516566327"/>
      <w:bookmarkStart w:id="100" w:name="_Toc516581595"/>
      <w:bookmarkStart w:id="101" w:name="_Toc516734768"/>
      <w:bookmarkStart w:id="102" w:name="_Toc516738798"/>
      <w:r w:rsidRPr="004B4556">
        <w:rPr>
          <w:rFonts w:asciiTheme="minorHAnsi" w:hAnsiTheme="minorHAnsi" w:cstheme="minorHAnsi"/>
          <w:sz w:val="20"/>
        </w:rPr>
        <w:lastRenderedPageBreak/>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99"/>
      <w:bookmarkEnd w:id="100"/>
      <w:bookmarkEnd w:id="101"/>
      <w:bookmarkEnd w:id="102"/>
    </w:p>
    <w:p w14:paraId="630F4A42" w14:textId="77777777" w:rsidR="00C751AA" w:rsidRPr="00F83E46"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3" w:name="_Toc516734769"/>
      <w:bookmarkStart w:id="104"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3"/>
      <w:bookmarkEnd w:id="104"/>
      <w:r w:rsidRPr="00F83E46">
        <w:rPr>
          <w:rFonts w:asciiTheme="minorHAnsi" w:hAnsiTheme="minorHAnsi" w:cstheme="minorHAnsi"/>
          <w:sz w:val="20"/>
        </w:rPr>
        <w:t xml:space="preserve"> </w:t>
      </w:r>
      <w:bookmarkStart w:id="105" w:name="_Toc516734770"/>
      <w:bookmarkStart w:id="106" w:name="_Toc516738800"/>
      <w:r w:rsidRPr="00F83E46">
        <w:rPr>
          <w:rFonts w:asciiTheme="minorHAnsi" w:hAnsiTheme="minorHAnsi" w:cstheme="minorHAnsi"/>
          <w:sz w:val="20"/>
        </w:rPr>
        <w:t>Zamawiający zwraca wadium także w sytuacji, gdy Wykonawca wycofał Ofertę przed upływem terminu składania Ofert, Wykonawca został wykluczony, bądź Oferta Wykonawcy została odrzucona, bądź Oferta została złożona po terminie.</w:t>
      </w:r>
    </w:p>
    <w:p w14:paraId="5CA0AB94" w14:textId="77777777" w:rsidR="00C751AA" w:rsidRPr="002000A2" w:rsidRDefault="00C751AA" w:rsidP="00C751AA">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8F1D131" w14:textId="19B66D3A" w:rsidR="00947648" w:rsidRPr="00184B38" w:rsidRDefault="00C751AA" w:rsidP="00184B38">
      <w:pPr>
        <w:pStyle w:val="Akapitzlist"/>
        <w:numPr>
          <w:ilvl w:val="1"/>
          <w:numId w:val="14"/>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xml:space="preserve">, </w:t>
      </w:r>
      <w:r w:rsidRPr="00DB24F6">
        <w:rPr>
          <w:rFonts w:asciiTheme="minorHAnsi" w:hAnsiTheme="minorHAnsi" w:cstheme="minorHAnsi"/>
          <w:sz w:val="20"/>
        </w:rPr>
        <w:t xml:space="preserve">uchyla się od potwierdzenia wynegocjowanych warunków podczas negocjacji handlowych </w:t>
      </w:r>
      <w:r w:rsidRPr="004B4556">
        <w:rPr>
          <w:rFonts w:asciiTheme="minorHAnsi" w:hAnsiTheme="minorHAnsi" w:cstheme="minorHAnsi"/>
          <w:sz w:val="20"/>
        </w:rPr>
        <w:t>albo nie wniósł w terminie zabezpieczenia należytego wykonania Umowy.</w:t>
      </w:r>
      <w:bookmarkEnd w:id="105"/>
      <w:bookmarkEnd w:id="106"/>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67"/>
      <w:bookmarkEnd w:id="68"/>
      <w:bookmarkEnd w:id="69"/>
      <w:bookmarkEnd w:id="70"/>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07" w:name="_Toc516734772"/>
      <w:bookmarkStart w:id="108" w:name="_Toc516738802"/>
      <w:bookmarkStart w:id="109" w:name="_Toc354752377"/>
      <w:bookmarkStart w:id="110" w:name="_Toc516566329"/>
      <w:bookmarkStart w:id="111"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07"/>
      <w:bookmarkEnd w:id="108"/>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2" w:name="_Toc516734773"/>
      <w:bookmarkStart w:id="113" w:name="_Toc516738803"/>
      <w:bookmarkStart w:id="114" w:name="_Toc354752378"/>
      <w:bookmarkStart w:id="115" w:name="_Toc516566330"/>
      <w:bookmarkStart w:id="116" w:name="_Toc516581598"/>
      <w:bookmarkEnd w:id="109"/>
      <w:bookmarkEnd w:id="110"/>
      <w:bookmarkEnd w:id="111"/>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2"/>
      <w:bookmarkEnd w:id="113"/>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7" w:name="_Toc516734774"/>
      <w:bookmarkStart w:id="118"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17"/>
      <w:bookmarkEnd w:id="118"/>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19" w:name="_Toc516566331"/>
      <w:bookmarkStart w:id="120"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19"/>
    <w:bookmarkEnd w:id="120"/>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1" w:name="_Toc354752383"/>
      <w:bookmarkStart w:id="122" w:name="_Toc516566334"/>
      <w:bookmarkStart w:id="123" w:name="_Toc516581604"/>
      <w:bookmarkStart w:id="124" w:name="_Toc516734785"/>
      <w:bookmarkStart w:id="125" w:name="_Toc516738815"/>
      <w:bookmarkEnd w:id="114"/>
      <w:bookmarkEnd w:id="115"/>
      <w:bookmarkEnd w:id="116"/>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1"/>
      <w:bookmarkEnd w:id="122"/>
      <w:bookmarkEnd w:id="123"/>
      <w:bookmarkEnd w:id="124"/>
      <w:bookmarkEnd w:id="125"/>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6" w:name="_Toc354752384"/>
      <w:bookmarkStart w:id="127" w:name="_Toc516566335"/>
      <w:bookmarkStart w:id="128" w:name="_Toc516581605"/>
      <w:bookmarkStart w:id="129" w:name="_Toc516734792"/>
      <w:bookmarkStart w:id="130"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26"/>
      <w:bookmarkEnd w:id="127"/>
      <w:bookmarkEnd w:id="128"/>
      <w:bookmarkEnd w:id="129"/>
      <w:bookmarkEnd w:id="130"/>
    </w:p>
    <w:p w14:paraId="30522590" w14:textId="77777777" w:rsidR="000B3117" w:rsidRPr="004B4556" w:rsidRDefault="000B3117" w:rsidP="001963FF">
      <w:pPr>
        <w:pStyle w:val="Nagwek1"/>
        <w:numPr>
          <w:ilvl w:val="0"/>
          <w:numId w:val="23"/>
        </w:numPr>
        <w:rPr>
          <w:rFonts w:cstheme="minorHAnsi"/>
          <w:sz w:val="20"/>
          <w:szCs w:val="20"/>
        </w:rPr>
      </w:pPr>
      <w:bookmarkStart w:id="131" w:name="_Toc354752385"/>
      <w:bookmarkStart w:id="132" w:name="_Toc516738824"/>
      <w:bookmarkStart w:id="133" w:name="_Toc69029868"/>
      <w:r w:rsidRPr="004B4556">
        <w:rPr>
          <w:rFonts w:cstheme="minorHAnsi"/>
          <w:sz w:val="20"/>
          <w:szCs w:val="20"/>
        </w:rPr>
        <w:t>OPIS SPOSOBU PRZYGOTOWANIA OFERTY</w:t>
      </w:r>
      <w:bookmarkEnd w:id="131"/>
      <w:bookmarkEnd w:id="132"/>
      <w:bookmarkEnd w:id="133"/>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34" w:name="_Toc354752410"/>
      <w:bookmarkStart w:id="135" w:name="_Toc516566348"/>
      <w:bookmarkStart w:id="136" w:name="_Toc516581618"/>
      <w:bookmarkStart w:id="137" w:name="_Toc516734803"/>
      <w:bookmarkStart w:id="138" w:name="_Toc516738833"/>
      <w:bookmarkStart w:id="139" w:name="_Toc354752386"/>
      <w:bookmarkStart w:id="140" w:name="_Toc516566337"/>
      <w:bookmarkStart w:id="141" w:name="_Toc516581607"/>
      <w:bookmarkStart w:id="142" w:name="_Toc516734795"/>
      <w:bookmarkStart w:id="143" w:name="_Toc516738825"/>
      <w:bookmarkStart w:id="144"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w:t>
      </w:r>
      <w:r w:rsidRPr="0052002C">
        <w:rPr>
          <w:rFonts w:asciiTheme="minorHAnsi" w:hAnsiTheme="minorHAnsi" w:cstheme="minorHAnsi"/>
          <w:sz w:val="20"/>
        </w:rPr>
        <w:lastRenderedPageBreak/>
        <w:t xml:space="preserve">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48FB4587"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45" w:name="_Toc8212165"/>
      <w:bookmarkEnd w:id="134"/>
      <w:bookmarkEnd w:id="135"/>
      <w:bookmarkEnd w:id="136"/>
      <w:bookmarkEnd w:id="137"/>
      <w:bookmarkEnd w:id="138"/>
    </w:p>
    <w:p w14:paraId="3A774F82" w14:textId="4DBC399E"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2713A0">
        <w:rPr>
          <w:rFonts w:asciiTheme="minorHAnsi" w:hAnsiTheme="minorHAnsi" w:cstheme="minorHAnsi"/>
          <w:sz w:val="20"/>
        </w:rPr>
        <w:t>Wykonawca ma prawo zastrzec poufność informacji stanowiących tajemnicę handlową jego przedsiębiorstwa. Informacj</w:t>
      </w:r>
      <w:r w:rsidR="0029506E" w:rsidRPr="002713A0">
        <w:rPr>
          <w:rFonts w:asciiTheme="minorHAnsi" w:hAnsiTheme="minorHAnsi" w:cstheme="minorHAnsi"/>
          <w:sz w:val="20"/>
        </w:rPr>
        <w:t xml:space="preserve">e przeznaczone tylko do użytku </w:t>
      </w:r>
      <w:r w:rsidRPr="002713A0">
        <w:rPr>
          <w:rFonts w:asciiTheme="minorHAnsi" w:hAnsiTheme="minorHAnsi" w:cstheme="minorHAnsi"/>
          <w:sz w:val="20"/>
        </w:rPr>
        <w:t xml:space="preserve">Zamawiającego, powinny zostać złożone </w:t>
      </w:r>
      <w:r w:rsidR="00202DC9" w:rsidRPr="002713A0">
        <w:rPr>
          <w:rFonts w:asciiTheme="minorHAnsi" w:hAnsiTheme="minorHAnsi" w:cstheme="minorHAnsi"/>
          <w:sz w:val="20"/>
        </w:rPr>
        <w:br/>
      </w:r>
      <w:r w:rsidRPr="002713A0">
        <w:rPr>
          <w:rFonts w:asciiTheme="minorHAnsi" w:hAnsiTheme="minorHAnsi" w:cstheme="minorHAnsi"/>
          <w:sz w:val="20"/>
        </w:rPr>
        <w:t xml:space="preserve">w osobnym pliku, w Sekcji Systemu Zakupowego „Dokumenty” w katalogu „Dokument niejawny (tajemnica przedsiębiorstwa)”, zgodnie z postanowieniami </w:t>
      </w:r>
      <w:r w:rsidR="002713A0" w:rsidRPr="002713A0">
        <w:rPr>
          <w:rFonts w:asciiTheme="minorHAnsi" w:hAnsiTheme="minorHAnsi" w:cstheme="minorHAnsi"/>
          <w:sz w:val="20"/>
        </w:rPr>
        <w:t>opisanymi w pkt. 4.3.4 „Szczegółowej instrukcji korzystania z Systemu Zakupowego dla Wykonawców</w:t>
      </w:r>
      <w:r w:rsidRPr="002713A0">
        <w:rPr>
          <w:rFonts w:asciiTheme="minorHAnsi" w:hAnsiTheme="minorHAnsi" w:cstheme="minorHAnsi"/>
          <w:sz w:val="20"/>
        </w:rPr>
        <w:t>.</w:t>
      </w:r>
      <w:r w:rsidR="0005057E" w:rsidRPr="002713A0">
        <w:rPr>
          <w:rFonts w:asciiTheme="minorHAnsi" w:hAnsiTheme="minorHAnsi"/>
        </w:rPr>
        <w:t xml:space="preserve"> </w:t>
      </w:r>
      <w:r w:rsidR="0005057E" w:rsidRPr="002713A0">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6" w:name="_Toc8212166"/>
      <w:bookmarkEnd w:id="145"/>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E5EED7D"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2C9B56D5"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2713A0">
        <w:rPr>
          <w:rFonts w:asciiTheme="minorHAnsi" w:hAnsiTheme="minorHAnsi" w:cstheme="minorHAnsi"/>
          <w:sz w:val="20"/>
        </w:rPr>
        <w:t>Wycofanie oferty odb</w:t>
      </w:r>
      <w:r w:rsidR="002713A0" w:rsidRPr="002713A0">
        <w:rPr>
          <w:rFonts w:asciiTheme="minorHAnsi" w:hAnsiTheme="minorHAnsi" w:cstheme="minorHAnsi"/>
          <w:sz w:val="20"/>
        </w:rPr>
        <w:t>ywa się w sposób opisany w pkt 5</w:t>
      </w:r>
      <w:r w:rsidR="00083F05" w:rsidRPr="002713A0">
        <w:rPr>
          <w:rFonts w:asciiTheme="minorHAnsi" w:hAnsiTheme="minorHAnsi" w:cstheme="minorHAnsi"/>
          <w:sz w:val="20"/>
        </w:rPr>
        <w:t xml:space="preserve">.9 </w:t>
      </w:r>
      <w:r w:rsidRPr="002713A0">
        <w:rPr>
          <w:rFonts w:asciiTheme="minorHAnsi" w:hAnsiTheme="minorHAnsi" w:cstheme="minorHAnsi"/>
          <w:sz w:val="20"/>
        </w:rPr>
        <w:t>„</w:t>
      </w:r>
      <w:r w:rsidR="002713A0" w:rsidRPr="002713A0">
        <w:rPr>
          <w:rFonts w:asciiTheme="minorHAnsi" w:hAnsiTheme="minorHAnsi" w:cstheme="minorHAnsi"/>
          <w:sz w:val="20"/>
        </w:rPr>
        <w:t>Szczegółowej instrukcji korzystania z Systemu Zakupowego dla Wykonawców</w:t>
      </w:r>
      <w:r w:rsidRPr="002713A0">
        <w:rPr>
          <w:rFonts w:asciiTheme="minorHAnsi" w:hAnsiTheme="minorHAnsi" w:cstheme="minorHAnsi"/>
          <w:sz w:val="20"/>
        </w:rPr>
        <w:t>”.</w:t>
      </w:r>
      <w:bookmarkEnd w:id="146"/>
    </w:p>
    <w:p w14:paraId="305225AE" w14:textId="2FCC652F" w:rsidR="005E71EB" w:rsidRPr="004B4556" w:rsidRDefault="005E71EB" w:rsidP="002907F0">
      <w:pPr>
        <w:pStyle w:val="Nagwek1"/>
        <w:numPr>
          <w:ilvl w:val="0"/>
          <w:numId w:val="6"/>
        </w:numPr>
        <w:rPr>
          <w:rFonts w:cstheme="minorHAnsi"/>
          <w:sz w:val="20"/>
          <w:szCs w:val="20"/>
        </w:rPr>
      </w:pPr>
      <w:bookmarkStart w:id="147" w:name="_Toc354752429"/>
      <w:bookmarkStart w:id="148" w:name="_Toc516738853"/>
      <w:bookmarkStart w:id="149" w:name="_Toc69029869"/>
      <w:bookmarkEnd w:id="139"/>
      <w:bookmarkEnd w:id="140"/>
      <w:bookmarkEnd w:id="141"/>
      <w:bookmarkEnd w:id="142"/>
      <w:bookmarkEnd w:id="143"/>
      <w:bookmarkEnd w:id="144"/>
      <w:r w:rsidRPr="004B4556">
        <w:rPr>
          <w:rFonts w:cstheme="minorHAnsi"/>
          <w:sz w:val="20"/>
          <w:szCs w:val="20"/>
        </w:rPr>
        <w:t xml:space="preserve">WYJAŚNIENIA I MODYFIKACJA </w:t>
      </w:r>
      <w:bookmarkEnd w:id="147"/>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48"/>
      <w:bookmarkEnd w:id="149"/>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0" w:name="_Toc354752430"/>
      <w:bookmarkStart w:id="151" w:name="_Toc516566369"/>
      <w:bookmarkStart w:id="152" w:name="_Toc516581639"/>
      <w:bookmarkStart w:id="153" w:name="_Toc516734824"/>
      <w:bookmarkStart w:id="154"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0"/>
      <w:bookmarkEnd w:id="151"/>
      <w:bookmarkEnd w:id="152"/>
      <w:bookmarkEnd w:id="153"/>
      <w:bookmarkEnd w:id="154"/>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5" w:name="_Toc516581640"/>
      <w:bookmarkStart w:id="156" w:name="_Toc516734825"/>
      <w:bookmarkStart w:id="157"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5"/>
      <w:bookmarkEnd w:id="156"/>
      <w:bookmarkEnd w:id="157"/>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8" w:name="_Toc354752432"/>
      <w:bookmarkStart w:id="159" w:name="_Toc516566371"/>
      <w:bookmarkStart w:id="160" w:name="_Toc516581641"/>
      <w:bookmarkStart w:id="161" w:name="_Toc516734826"/>
      <w:bookmarkStart w:id="162"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58"/>
      <w:bookmarkEnd w:id="159"/>
      <w:bookmarkEnd w:id="160"/>
      <w:bookmarkEnd w:id="161"/>
      <w:bookmarkEnd w:id="162"/>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3" w:name="_Toc354752433"/>
      <w:bookmarkStart w:id="164" w:name="_Toc516566372"/>
      <w:bookmarkStart w:id="165" w:name="_Toc516581642"/>
      <w:bookmarkStart w:id="166" w:name="_Toc516734827"/>
      <w:bookmarkStart w:id="167"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63"/>
      <w:bookmarkEnd w:id="164"/>
      <w:bookmarkEnd w:id="165"/>
      <w:bookmarkEnd w:id="166"/>
      <w:bookmarkEnd w:id="167"/>
    </w:p>
    <w:p w14:paraId="305225B3" w14:textId="77777777" w:rsidR="000B3117" w:rsidRPr="004B4556" w:rsidRDefault="000B3117" w:rsidP="002907F0">
      <w:pPr>
        <w:pStyle w:val="Nagwek1"/>
        <w:numPr>
          <w:ilvl w:val="0"/>
          <w:numId w:val="7"/>
        </w:numPr>
        <w:rPr>
          <w:rFonts w:cstheme="minorHAnsi"/>
          <w:sz w:val="20"/>
          <w:szCs w:val="20"/>
        </w:rPr>
      </w:pPr>
      <w:bookmarkStart w:id="168" w:name="_Toc354752434"/>
      <w:bookmarkStart w:id="169" w:name="_Toc516738858"/>
      <w:bookmarkStart w:id="170" w:name="_Toc69029870"/>
      <w:r w:rsidRPr="004B4556">
        <w:rPr>
          <w:rFonts w:cstheme="minorHAnsi"/>
          <w:sz w:val="20"/>
          <w:szCs w:val="20"/>
        </w:rPr>
        <w:lastRenderedPageBreak/>
        <w:t>OPIS SPOSOBU OBLICZANIA CENY</w:t>
      </w:r>
      <w:bookmarkEnd w:id="168"/>
      <w:bookmarkEnd w:id="169"/>
      <w:bookmarkEnd w:id="170"/>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1"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1369A9B3" w14:textId="1381B49A" w:rsidR="00184B38" w:rsidRPr="00264F36" w:rsidRDefault="002713A0" w:rsidP="00184B38">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2" w:name="_Toc354752445"/>
      <w:bookmarkStart w:id="173" w:name="_Toc516738859"/>
      <w:bookmarkStart w:id="174" w:name="_Toc69029871"/>
      <w:bookmarkEnd w:id="171"/>
      <w:r w:rsidRPr="004B4556">
        <w:rPr>
          <w:rFonts w:cstheme="minorHAnsi"/>
          <w:sz w:val="20"/>
          <w:szCs w:val="20"/>
        </w:rPr>
        <w:t>SPOSÓB POROZUMIEWANIA SIĘ Z WYKONAWCAMI</w:t>
      </w:r>
      <w:bookmarkEnd w:id="172"/>
      <w:bookmarkEnd w:id="173"/>
      <w:bookmarkEnd w:id="174"/>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75" w:name="_Toc354752446"/>
      <w:bookmarkStart w:id="176" w:name="_Toc516566375"/>
      <w:bookmarkStart w:id="177" w:name="_Toc516581645"/>
      <w:bookmarkStart w:id="178" w:name="_Toc516734830"/>
      <w:bookmarkStart w:id="179" w:name="_Toc516738860"/>
      <w:r w:rsidRPr="00BA3B10">
        <w:rPr>
          <w:rFonts w:asciiTheme="minorHAnsi" w:hAnsiTheme="minorHAnsi" w:cstheme="minorHAnsi"/>
          <w:sz w:val="20"/>
        </w:rPr>
        <w:t>W niniejszym postępowaniu korespondencja przekazywana będzie:</w:t>
      </w:r>
      <w:bookmarkEnd w:id="175"/>
      <w:bookmarkEnd w:id="176"/>
      <w:bookmarkEnd w:id="177"/>
      <w:bookmarkEnd w:id="178"/>
      <w:bookmarkEnd w:id="179"/>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0" w:name="_Toc354752447"/>
      <w:bookmarkStart w:id="181" w:name="_Toc516566376"/>
      <w:bookmarkStart w:id="182" w:name="_Toc516581646"/>
      <w:bookmarkStart w:id="183" w:name="_Toc516734831"/>
      <w:bookmarkStart w:id="184"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85" w:name="_Toc354752448"/>
      <w:bookmarkEnd w:id="180"/>
      <w:bookmarkEnd w:id="181"/>
      <w:bookmarkEnd w:id="182"/>
      <w:bookmarkEnd w:id="183"/>
      <w:bookmarkEnd w:id="184"/>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6" w:name="_Toc516566377"/>
      <w:bookmarkStart w:id="187" w:name="_Toc516581647"/>
      <w:bookmarkStart w:id="188" w:name="_Toc516734832"/>
      <w:bookmarkStart w:id="189"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85"/>
      <w:bookmarkEnd w:id="186"/>
      <w:bookmarkEnd w:id="187"/>
      <w:bookmarkEnd w:id="188"/>
      <w:bookmarkEnd w:id="189"/>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0" w:name="_Toc354752462"/>
      <w:bookmarkStart w:id="191" w:name="_Toc516566388"/>
      <w:bookmarkStart w:id="192" w:name="_Toc516581658"/>
      <w:bookmarkStart w:id="193" w:name="_Toc516734843"/>
      <w:bookmarkStart w:id="194" w:name="_Toc516738873"/>
      <w:bookmarkStart w:id="195" w:name="_Toc516566391"/>
      <w:bookmarkStart w:id="196" w:name="_Toc516581661"/>
      <w:bookmarkStart w:id="197" w:name="_Toc516734846"/>
      <w:bookmarkStart w:id="198" w:name="_Toc516738876"/>
      <w:r w:rsidRPr="00BA3B10">
        <w:rPr>
          <w:rFonts w:asciiTheme="minorHAnsi" w:hAnsiTheme="minorHAnsi" w:cstheme="minorHAnsi"/>
          <w:sz w:val="20"/>
        </w:rPr>
        <w:t>Osobą uprawnioną do porozumiewania się z Wykonawcami jest:</w:t>
      </w:r>
      <w:bookmarkEnd w:id="190"/>
      <w:bookmarkEnd w:id="191"/>
      <w:bookmarkEnd w:id="192"/>
      <w:bookmarkEnd w:id="193"/>
      <w:bookmarkEnd w:id="194"/>
    </w:p>
    <w:p w14:paraId="5BB27A9F" w14:textId="793CE61C" w:rsidR="00012AB7" w:rsidRDefault="00CF6A47" w:rsidP="002A5F5E">
      <w:pPr>
        <w:pStyle w:val="Akapitzlist"/>
        <w:numPr>
          <w:ilvl w:val="2"/>
          <w:numId w:val="8"/>
        </w:numPr>
        <w:spacing w:before="120" w:line="24" w:lineRule="atLeast"/>
        <w:ind w:left="1134" w:hanging="567"/>
        <w:outlineLvl w:val="0"/>
        <w:rPr>
          <w:rFonts w:asciiTheme="minorHAnsi" w:hAnsiTheme="minorHAnsi" w:cstheme="minorHAnsi"/>
          <w:b/>
          <w:sz w:val="20"/>
        </w:rPr>
      </w:pPr>
      <w:bookmarkStart w:id="199" w:name="_Toc354752464"/>
      <w:bookmarkStart w:id="200" w:name="_Toc516566389"/>
      <w:bookmarkStart w:id="201" w:name="_Toc516581659"/>
      <w:bookmarkStart w:id="202" w:name="_Toc516734844"/>
      <w:bookmarkStart w:id="203" w:name="_Toc516738874"/>
      <w:r>
        <w:rPr>
          <w:rFonts w:asciiTheme="minorHAnsi" w:hAnsiTheme="minorHAnsi" w:cstheme="minorHAnsi"/>
          <w:b/>
          <w:sz w:val="20"/>
        </w:rPr>
        <w:t>Magdalena Goc - Moszyńska</w:t>
      </w:r>
      <w:r w:rsidR="005712F0" w:rsidRPr="00B81FA9">
        <w:rPr>
          <w:rFonts w:asciiTheme="minorHAnsi" w:hAnsiTheme="minorHAnsi" w:cstheme="minorHAnsi"/>
          <w:b/>
          <w:sz w:val="20"/>
        </w:rPr>
        <w:t xml:space="preserve">, Wydział Zamówień Oddziału </w:t>
      </w:r>
      <w:r w:rsidR="001F1C4E" w:rsidRPr="00B81FA9">
        <w:rPr>
          <w:rFonts w:asciiTheme="minorHAnsi" w:hAnsiTheme="minorHAnsi" w:cstheme="minorHAnsi"/>
          <w:b/>
          <w:sz w:val="20"/>
        </w:rPr>
        <w:t>Łódź</w:t>
      </w:r>
      <w:r w:rsidR="005712F0" w:rsidRPr="00B81FA9">
        <w:rPr>
          <w:rFonts w:asciiTheme="minorHAnsi" w:hAnsiTheme="minorHAnsi" w:cstheme="minorHAnsi"/>
          <w:b/>
          <w:sz w:val="20"/>
        </w:rPr>
        <w:t xml:space="preserve"> PGE Dystrybucja S.A., </w:t>
      </w:r>
      <w:r w:rsidR="001532DD">
        <w:rPr>
          <w:rFonts w:asciiTheme="minorHAnsi" w:hAnsiTheme="minorHAnsi" w:cstheme="minorHAnsi"/>
          <w:b/>
          <w:sz w:val="20"/>
        </w:rPr>
        <w:t xml:space="preserve">Telefon: 42 675 </w:t>
      </w:r>
      <w:r>
        <w:rPr>
          <w:rFonts w:asciiTheme="minorHAnsi" w:hAnsiTheme="minorHAnsi" w:cstheme="minorHAnsi"/>
          <w:b/>
          <w:sz w:val="20"/>
        </w:rPr>
        <w:t>22 04</w:t>
      </w:r>
    </w:p>
    <w:p w14:paraId="180DF200" w14:textId="5CE54815" w:rsidR="00B81FA9" w:rsidRPr="002A5F5E" w:rsidRDefault="00EA5671" w:rsidP="005F36B5">
      <w:pPr>
        <w:pStyle w:val="Akapitzlist"/>
        <w:spacing w:before="120" w:line="24" w:lineRule="atLeast"/>
        <w:ind w:left="1134"/>
        <w:outlineLvl w:val="0"/>
        <w:rPr>
          <w:rFonts w:asciiTheme="minorHAnsi" w:hAnsiTheme="minorHAnsi" w:cstheme="minorHAnsi"/>
          <w:b/>
          <w:sz w:val="20"/>
          <w:lang w:val="en-US"/>
        </w:rPr>
      </w:pPr>
      <w:r w:rsidRPr="002A5F5E">
        <w:rPr>
          <w:rFonts w:asciiTheme="minorHAnsi" w:hAnsiTheme="minorHAnsi" w:cstheme="minorHAnsi"/>
          <w:b/>
          <w:sz w:val="20"/>
          <w:lang w:val="en-US"/>
        </w:rPr>
        <w:t>E</w:t>
      </w:r>
      <w:r w:rsidR="005712F0" w:rsidRPr="002A5F5E">
        <w:rPr>
          <w:rFonts w:asciiTheme="minorHAnsi" w:hAnsiTheme="minorHAnsi" w:cstheme="minorHAnsi"/>
          <w:b/>
          <w:sz w:val="20"/>
          <w:lang w:val="en-US"/>
        </w:rPr>
        <w:t xml:space="preserve">-mail: </w:t>
      </w:r>
      <w:bookmarkEnd w:id="199"/>
      <w:r w:rsidR="00E763F9">
        <w:rPr>
          <w:rFonts w:asciiTheme="minorHAnsi" w:hAnsiTheme="minorHAnsi" w:cstheme="minorHAnsi"/>
          <w:b/>
          <w:sz w:val="20"/>
          <w:lang w:val="en-US"/>
        </w:rPr>
        <w:t>Magdalena.Goc-Moszynska</w:t>
      </w:r>
      <w:r w:rsidR="002A5F5E" w:rsidRPr="002A5F5E">
        <w:rPr>
          <w:rFonts w:asciiTheme="minorHAnsi" w:hAnsiTheme="minorHAnsi" w:cstheme="minorHAnsi"/>
          <w:b/>
          <w:sz w:val="20"/>
          <w:lang w:val="en-US"/>
        </w:rPr>
        <w:t xml:space="preserve">@pgedystrybucja.pl  </w:t>
      </w:r>
    </w:p>
    <w:p w14:paraId="260A0BEE" w14:textId="7E2A8B45" w:rsidR="00B81FA9" w:rsidRPr="003F5541" w:rsidRDefault="00EA5671" w:rsidP="003F5541">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D</w:t>
      </w:r>
      <w:r w:rsidR="005712F0" w:rsidRPr="00B81FA9">
        <w:rPr>
          <w:rFonts w:asciiTheme="minorHAnsi" w:hAnsiTheme="minorHAnsi" w:cstheme="minorHAnsi"/>
          <w:b/>
          <w:sz w:val="20"/>
        </w:rPr>
        <w:t xml:space="preserve">odatkowo: </w:t>
      </w:r>
      <w:bookmarkStart w:id="204" w:name="_Toc516566390"/>
      <w:bookmarkStart w:id="205" w:name="_Toc516581660"/>
      <w:bookmarkStart w:id="206" w:name="_Toc516734845"/>
      <w:bookmarkStart w:id="207" w:name="_Toc516738875"/>
      <w:bookmarkEnd w:id="200"/>
      <w:bookmarkEnd w:id="201"/>
      <w:bookmarkEnd w:id="202"/>
      <w:bookmarkEnd w:id="203"/>
      <w:r w:rsidR="00CF6A47">
        <w:rPr>
          <w:rFonts w:asciiTheme="minorHAnsi" w:hAnsiTheme="minorHAnsi" w:cstheme="minorHAnsi"/>
          <w:b/>
          <w:sz w:val="20"/>
        </w:rPr>
        <w:t>Izabela.Kaczorowska-Jakubowska</w:t>
      </w:r>
      <w:r w:rsidR="002A5F5E" w:rsidRPr="002A5F5E">
        <w:rPr>
          <w:rFonts w:asciiTheme="minorHAnsi" w:hAnsiTheme="minorHAnsi" w:cstheme="minorHAnsi"/>
          <w:b/>
          <w:sz w:val="20"/>
        </w:rPr>
        <w:t>@pgedystrybucja.pl</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w:t>
      </w:r>
      <w:bookmarkStart w:id="208" w:name="_GoBack"/>
      <w:bookmarkEnd w:id="208"/>
      <w:r w:rsidRPr="004B4556">
        <w:rPr>
          <w:rFonts w:asciiTheme="minorHAnsi" w:hAnsiTheme="minorHAnsi" w:cstheme="minorHAnsi"/>
          <w:sz w:val="20"/>
        </w:rPr>
        <w:t>mi poza wskazanymi do kontaktu powyżej.</w:t>
      </w:r>
      <w:bookmarkEnd w:id="204"/>
      <w:bookmarkEnd w:id="205"/>
      <w:bookmarkEnd w:id="206"/>
      <w:bookmarkEnd w:id="207"/>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95"/>
      <w:bookmarkEnd w:id="196"/>
      <w:bookmarkEnd w:id="197"/>
      <w:bookmarkEnd w:id="198"/>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09" w:name="_Toc354752465"/>
      <w:bookmarkStart w:id="210" w:name="_Toc516738877"/>
      <w:bookmarkStart w:id="211"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09"/>
      <w:bookmarkEnd w:id="210"/>
      <w:bookmarkEnd w:id="211"/>
    </w:p>
    <w:p w14:paraId="1D6FEC87" w14:textId="0AE7AFD1" w:rsidR="0015504B" w:rsidRPr="000705E8"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2" w:name="_Toc354752466"/>
      <w:bookmarkStart w:id="213" w:name="_Toc516566393"/>
      <w:bookmarkStart w:id="214" w:name="_Toc516581663"/>
      <w:bookmarkStart w:id="215" w:name="_Toc516734848"/>
      <w:bookmarkStart w:id="216" w:name="_Toc516738878"/>
      <w:r w:rsidRPr="000705E8">
        <w:rPr>
          <w:rFonts w:asciiTheme="minorHAnsi" w:hAnsiTheme="minorHAnsi" w:cstheme="minorHAnsi"/>
          <w:sz w:val="20"/>
        </w:rPr>
        <w:t xml:space="preserve">Ofertę wraz z wymaganymi dokumentami należy złożyć za pośrednictwem Systemu Zakupowego dostępnego pod adresem: </w:t>
      </w:r>
      <w:hyperlink r:id="rId20" w:history="1">
        <w:r w:rsidR="00CD14E1" w:rsidRPr="000705E8">
          <w:rPr>
            <w:rStyle w:val="Hipercze"/>
            <w:rFonts w:asciiTheme="minorHAnsi" w:hAnsiTheme="minorHAnsi" w:cstheme="minorHAnsi"/>
            <w:sz w:val="20"/>
          </w:rPr>
          <w:t>https://swpp2.gkpge.pl</w:t>
        </w:r>
      </w:hyperlink>
      <w:r w:rsidR="00CD14E1" w:rsidRPr="000705E8">
        <w:rPr>
          <w:rFonts w:asciiTheme="minorHAnsi" w:hAnsiTheme="minorHAnsi" w:cstheme="minorHAnsi"/>
          <w:sz w:val="20"/>
        </w:rPr>
        <w:t xml:space="preserve"> </w:t>
      </w:r>
    </w:p>
    <w:p w14:paraId="6E449114" w14:textId="0F811E02" w:rsidR="0015504B" w:rsidRPr="00E763F9"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i/>
          <w:sz w:val="20"/>
        </w:rPr>
      </w:pPr>
      <w:r w:rsidRPr="000705E8">
        <w:rPr>
          <w:rFonts w:asciiTheme="minorHAnsi" w:hAnsiTheme="minorHAnsi" w:cstheme="minorHAnsi"/>
          <w:sz w:val="20"/>
        </w:rPr>
        <w:t xml:space="preserve">W dniu opublikowania postępowania termin składania ofert został </w:t>
      </w:r>
      <w:r w:rsidRPr="002A1BFE">
        <w:rPr>
          <w:rFonts w:asciiTheme="minorHAnsi" w:hAnsiTheme="minorHAnsi" w:cstheme="minorHAnsi"/>
          <w:sz w:val="20"/>
        </w:rPr>
        <w:t>wyz</w:t>
      </w:r>
      <w:r w:rsidR="00593215" w:rsidRPr="002A1BFE">
        <w:rPr>
          <w:rFonts w:asciiTheme="minorHAnsi" w:hAnsiTheme="minorHAnsi" w:cstheme="minorHAnsi"/>
          <w:sz w:val="20"/>
        </w:rPr>
        <w:t xml:space="preserve">naczony </w:t>
      </w:r>
      <w:r w:rsidR="00593215" w:rsidRPr="00E763F9">
        <w:rPr>
          <w:rFonts w:asciiTheme="minorHAnsi" w:hAnsiTheme="minorHAnsi" w:cstheme="minorHAnsi"/>
          <w:sz w:val="20"/>
        </w:rPr>
        <w:t xml:space="preserve">do </w:t>
      </w:r>
      <w:r w:rsidR="00447DC4" w:rsidRPr="00E763F9">
        <w:rPr>
          <w:rFonts w:asciiTheme="minorHAnsi" w:hAnsiTheme="minorHAnsi" w:cstheme="minorHAnsi"/>
          <w:sz w:val="20"/>
        </w:rPr>
        <w:t xml:space="preserve">dnia </w:t>
      </w:r>
      <w:r w:rsidR="00E763F9" w:rsidRPr="00E763F9">
        <w:rPr>
          <w:rFonts w:asciiTheme="minorHAnsi" w:hAnsiTheme="minorHAnsi" w:cstheme="minorHAnsi"/>
          <w:b/>
          <w:i/>
          <w:sz w:val="20"/>
        </w:rPr>
        <w:t>28.11.</w:t>
      </w:r>
      <w:r w:rsidR="00947648" w:rsidRPr="00E763F9">
        <w:rPr>
          <w:rFonts w:asciiTheme="minorHAnsi" w:hAnsiTheme="minorHAnsi" w:cstheme="minorHAnsi"/>
          <w:b/>
          <w:i/>
          <w:sz w:val="20"/>
        </w:rPr>
        <w:t>2024</w:t>
      </w:r>
      <w:r w:rsidR="00447DC4" w:rsidRPr="00E763F9">
        <w:rPr>
          <w:rFonts w:asciiTheme="minorHAnsi" w:hAnsiTheme="minorHAnsi" w:cstheme="minorHAnsi"/>
          <w:b/>
          <w:i/>
          <w:sz w:val="20"/>
        </w:rPr>
        <w:t xml:space="preserve"> do godz. 09:00</w:t>
      </w:r>
      <w:r w:rsidR="00447DC4" w:rsidRPr="00E763F9">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114060">
        <w:rPr>
          <w:rFonts w:asciiTheme="minorHAnsi" w:hAnsiTheme="minorHAnsi" w:cstheme="minorHAnsi"/>
          <w:sz w:val="20"/>
        </w:rPr>
        <w:lastRenderedPageBreak/>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17" w:name="_Toc354752469"/>
      <w:bookmarkStart w:id="218" w:name="_Toc516738881"/>
      <w:bookmarkStart w:id="219" w:name="_Toc69029873"/>
      <w:bookmarkEnd w:id="212"/>
      <w:bookmarkEnd w:id="213"/>
      <w:bookmarkEnd w:id="214"/>
      <w:bookmarkEnd w:id="215"/>
      <w:bookmarkEnd w:id="216"/>
      <w:r w:rsidRPr="004B4556">
        <w:rPr>
          <w:rFonts w:cstheme="minorHAnsi"/>
          <w:sz w:val="20"/>
          <w:szCs w:val="20"/>
        </w:rPr>
        <w:t>TERMIN ZWIĄZANIA OFERTĄ</w:t>
      </w:r>
      <w:bookmarkEnd w:id="217"/>
      <w:bookmarkEnd w:id="218"/>
      <w:bookmarkEnd w:id="219"/>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0" w:name="_Toc354752470"/>
      <w:bookmarkStart w:id="221" w:name="_Toc516566397"/>
      <w:bookmarkStart w:id="222" w:name="_Toc516581667"/>
      <w:bookmarkStart w:id="223" w:name="_Toc516734852"/>
      <w:bookmarkStart w:id="224"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0"/>
      <w:bookmarkEnd w:id="221"/>
      <w:bookmarkEnd w:id="222"/>
      <w:bookmarkEnd w:id="223"/>
      <w:bookmarkEnd w:id="224"/>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5" w:name="_Toc354752471"/>
      <w:bookmarkStart w:id="226" w:name="_Toc516738883"/>
      <w:bookmarkStart w:id="227"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5"/>
      <w:bookmarkEnd w:id="226"/>
      <w:bookmarkEnd w:id="227"/>
      <w:r w:rsidR="008E1326" w:rsidRPr="004B4556">
        <w:rPr>
          <w:rFonts w:cstheme="minorHAnsi"/>
          <w:sz w:val="20"/>
          <w:szCs w:val="20"/>
        </w:rPr>
        <w:t xml:space="preserve"> </w:t>
      </w:r>
    </w:p>
    <w:p w14:paraId="329B6B4D" w14:textId="025D1300"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28" w:name="_Toc516566400"/>
      <w:bookmarkStart w:id="229" w:name="_Toc516581670"/>
      <w:bookmarkStart w:id="230" w:name="_Toc516734855"/>
      <w:bookmarkStart w:id="231"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867D83">
        <w:rPr>
          <w:rFonts w:asciiTheme="minorHAnsi" w:hAnsiTheme="minorHAnsi" w:cstheme="minorHAnsi"/>
          <w:sz w:val="20"/>
        </w:rPr>
        <w:t xml:space="preserve"> </w:t>
      </w:r>
      <w:r w:rsidR="002713A0">
        <w:rPr>
          <w:rFonts w:asciiTheme="minorHAnsi" w:hAnsiTheme="minorHAnsi" w:cstheme="minorHAnsi"/>
          <w:sz w:val="20"/>
        </w:rPr>
        <w:t>oraz 1.3.7</w:t>
      </w:r>
      <w:r w:rsidR="00D45512">
        <w:rPr>
          <w:rFonts w:asciiTheme="minorHAnsi" w:hAnsiTheme="minorHAnsi" w:cstheme="minorHAnsi"/>
          <w:sz w:val="20"/>
        </w:rPr>
        <w:t>.</w:t>
      </w:r>
      <w:r w:rsidR="002713A0">
        <w:rPr>
          <w:rFonts w:asciiTheme="minorHAnsi" w:hAnsiTheme="minorHAnsi" w:cstheme="minorHAnsi"/>
          <w:sz w:val="20"/>
        </w:rPr>
        <w:t xml:space="preserve"> </w:t>
      </w:r>
      <w:r w:rsidR="00867D83">
        <w:rPr>
          <w:rFonts w:asciiTheme="minorHAnsi" w:hAnsiTheme="minorHAnsi" w:cstheme="minorHAnsi"/>
          <w:sz w:val="20"/>
        </w:rPr>
        <w:t>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228"/>
    <w:bookmarkEnd w:id="229"/>
    <w:bookmarkEnd w:id="230"/>
    <w:bookmarkEnd w:id="231"/>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9E12A0" w:rsidRDefault="00F05C18" w:rsidP="00F05C18">
      <w:pPr>
        <w:pStyle w:val="Nagwek1"/>
        <w:numPr>
          <w:ilvl w:val="0"/>
          <w:numId w:val="22"/>
        </w:numPr>
        <w:rPr>
          <w:rFonts w:cstheme="minorHAnsi"/>
          <w:sz w:val="20"/>
          <w:szCs w:val="20"/>
        </w:rPr>
      </w:pPr>
      <w:bookmarkStart w:id="232" w:name="_Toc354752474"/>
      <w:bookmarkStart w:id="233" w:name="_Toc516738889"/>
      <w:bookmarkStart w:id="234" w:name="_Toc69029875"/>
      <w:bookmarkStart w:id="235" w:name="_Toc516738893"/>
      <w:bookmarkStart w:id="236" w:name="_Toc69029876"/>
      <w:r w:rsidRPr="009E12A0">
        <w:rPr>
          <w:rFonts w:cstheme="minorHAnsi"/>
          <w:sz w:val="20"/>
          <w:szCs w:val="20"/>
        </w:rPr>
        <w:t>ZABEZPIECZENIE NALEŻYTEGO WYKONANIA UMOWY</w:t>
      </w:r>
      <w:bookmarkEnd w:id="232"/>
      <w:bookmarkEnd w:id="233"/>
      <w:bookmarkEnd w:id="234"/>
    </w:p>
    <w:p w14:paraId="2D64D245" w14:textId="0AE949A9" w:rsidR="00C751AA" w:rsidRPr="00CF6A47" w:rsidRDefault="00C1181F" w:rsidP="00C751AA">
      <w:pPr>
        <w:pStyle w:val="Akapitzlist"/>
        <w:numPr>
          <w:ilvl w:val="1"/>
          <w:numId w:val="28"/>
        </w:numPr>
        <w:spacing w:before="120" w:after="120" w:line="24" w:lineRule="atLeast"/>
        <w:outlineLvl w:val="0"/>
        <w:rPr>
          <w:rFonts w:asciiTheme="minorHAnsi" w:hAnsiTheme="minorHAnsi" w:cstheme="minorHAnsi"/>
          <w:sz w:val="20"/>
        </w:rPr>
      </w:pPr>
      <w:bookmarkStart w:id="237" w:name="_Toc516566402"/>
      <w:bookmarkStart w:id="238" w:name="_Toc516581674"/>
      <w:bookmarkStart w:id="239" w:name="_Toc516734860"/>
      <w:bookmarkStart w:id="240" w:name="_Toc516738890"/>
      <w:r w:rsidRPr="00CF6A47">
        <w:rPr>
          <w:rFonts w:asciiTheme="minorHAnsi" w:hAnsiTheme="minorHAnsi" w:cstheme="minorHAnsi"/>
          <w:sz w:val="20"/>
        </w:rPr>
        <w:t xml:space="preserve">Wykonawca zobowiązany będzie do wniesienia zabezpieczenia należytego wykonania umowy </w:t>
      </w:r>
      <w:r w:rsidRPr="00CF6A47">
        <w:rPr>
          <w:rFonts w:asciiTheme="minorHAnsi" w:hAnsiTheme="minorHAnsi" w:cstheme="minorHAnsi"/>
          <w:sz w:val="20"/>
        </w:rPr>
        <w:br/>
        <w:t xml:space="preserve">       w wysokości </w:t>
      </w:r>
      <w:r w:rsidR="007632DF">
        <w:rPr>
          <w:rFonts w:asciiTheme="minorHAnsi" w:hAnsiTheme="minorHAnsi" w:cstheme="minorHAnsi"/>
          <w:b/>
          <w:sz w:val="20"/>
        </w:rPr>
        <w:t>15</w:t>
      </w:r>
      <w:r w:rsidRPr="00CF6A47">
        <w:rPr>
          <w:rFonts w:asciiTheme="minorHAnsi" w:hAnsiTheme="minorHAnsi" w:cstheme="minorHAnsi"/>
          <w:b/>
          <w:sz w:val="20"/>
        </w:rPr>
        <w:t xml:space="preserve"> 000,00 zł</w:t>
      </w:r>
      <w:r w:rsidRPr="00CF6A47">
        <w:rPr>
          <w:rFonts w:asciiTheme="minorHAnsi" w:hAnsiTheme="minorHAnsi" w:cstheme="minorHAnsi"/>
          <w:sz w:val="20"/>
        </w:rPr>
        <w:t>.</w:t>
      </w:r>
    </w:p>
    <w:bookmarkEnd w:id="237"/>
    <w:bookmarkEnd w:id="238"/>
    <w:bookmarkEnd w:id="239"/>
    <w:bookmarkEnd w:id="240"/>
    <w:p w14:paraId="112ABBF5"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musi być wniesione w całości przed podpisaniem Umowy. </w:t>
      </w:r>
      <w:bookmarkStart w:id="241" w:name="_Toc516566403"/>
      <w:bookmarkStart w:id="242" w:name="_Toc516581675"/>
      <w:bookmarkStart w:id="243" w:name="_Toc516734861"/>
      <w:bookmarkStart w:id="244" w:name="_Toc516738891"/>
    </w:p>
    <w:p w14:paraId="470E298A" w14:textId="77777777" w:rsidR="00D45512"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może być wniesione w formie pieniężnej (przelewem na rachunek bankowy </w:t>
      </w:r>
      <w:r>
        <w:rPr>
          <w:rFonts w:asciiTheme="minorHAnsi" w:hAnsiTheme="minorHAnsi" w:cstheme="minorHAnsi"/>
          <w:sz w:val="20"/>
        </w:rPr>
        <w:t xml:space="preserve">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Zamawiającego: </w:t>
      </w:r>
      <w:r w:rsidRPr="00BA3F3A">
        <w:rPr>
          <w:rFonts w:asciiTheme="minorHAnsi" w:hAnsiTheme="minorHAnsi" w:cstheme="minorHAnsi"/>
          <w:b/>
          <w:sz w:val="20"/>
        </w:rPr>
        <w:t>67 1240 6292 1111 0010 3590 3036</w:t>
      </w:r>
      <w:r w:rsidRPr="00BA3F3A">
        <w:rPr>
          <w:rFonts w:asciiTheme="minorHAnsi" w:hAnsiTheme="minorHAnsi" w:cstheme="minorHAnsi"/>
          <w:sz w:val="20"/>
        </w:rPr>
        <w:t>, w</w:t>
      </w:r>
      <w:r w:rsidR="00D45512">
        <w:rPr>
          <w:rFonts w:asciiTheme="minorHAnsi" w:hAnsiTheme="minorHAnsi" w:cstheme="minorHAnsi"/>
          <w:sz w:val="20"/>
        </w:rPr>
        <w:t xml:space="preserve"> poręczeniach bankowych</w:t>
      </w:r>
      <w:r w:rsidRPr="00BA3F3A">
        <w:rPr>
          <w:rFonts w:asciiTheme="minorHAnsi" w:hAnsiTheme="minorHAnsi" w:cstheme="minorHAnsi"/>
          <w:sz w:val="20"/>
        </w:rPr>
        <w:t>,</w:t>
      </w:r>
      <w:r w:rsidR="00D45512">
        <w:rPr>
          <w:rFonts w:asciiTheme="minorHAnsi" w:hAnsiTheme="minorHAnsi" w:cstheme="minorHAnsi"/>
          <w:sz w:val="20"/>
        </w:rPr>
        <w:t xml:space="preserve"> w gwarancjach </w:t>
      </w:r>
    </w:p>
    <w:p w14:paraId="2F797248" w14:textId="3570C118" w:rsidR="00C751AA" w:rsidRDefault="00D45512" w:rsidP="00D45512">
      <w:pPr>
        <w:pStyle w:val="Akapitzlist"/>
        <w:spacing w:before="120" w:after="120" w:line="24" w:lineRule="atLeast"/>
        <w:ind w:left="405"/>
        <w:outlineLvl w:val="0"/>
        <w:rPr>
          <w:rFonts w:asciiTheme="minorHAnsi" w:hAnsiTheme="minorHAnsi" w:cstheme="minorHAnsi"/>
          <w:sz w:val="20"/>
        </w:rPr>
      </w:pPr>
      <w:r>
        <w:rPr>
          <w:rFonts w:asciiTheme="minorHAnsi" w:hAnsiTheme="minorHAnsi" w:cstheme="minorHAnsi"/>
          <w:sz w:val="20"/>
        </w:rPr>
        <w:t xml:space="preserve">      bankowych lub w gwarancjach ubezpieczeniowych</w:t>
      </w:r>
      <w:r w:rsidR="00C751AA" w:rsidRPr="00BA3F3A">
        <w:rPr>
          <w:rFonts w:asciiTheme="minorHAnsi" w:hAnsiTheme="minorHAnsi" w:cstheme="minorHAnsi"/>
          <w:sz w:val="20"/>
        </w:rPr>
        <w:t>.</w:t>
      </w:r>
      <w:bookmarkEnd w:id="241"/>
      <w:bookmarkEnd w:id="242"/>
      <w:bookmarkEnd w:id="243"/>
      <w:bookmarkEnd w:id="244"/>
    </w:p>
    <w:p w14:paraId="61220A8C"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Zabezpieczenie należytego wykonania Umowy, przekazane w innej formie niż pieniężna, powinno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zawierać zobowiązanie poręczyciela lub gwaranta do płatności na pierwsze żądanie Zamawiającego.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Poręczenie lub gwarancja powinno być udzielone bezwarunkowo i nieodwołalnie, na cały okres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realizacji umowy oraz wskazywać termin, w jakim dokonana zostanie wypłata. Termin ten nie może być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dłuższy niż 14 dni od daty otrzymania od Zamawiającego żądania zapłaty.</w:t>
      </w:r>
    </w:p>
    <w:p w14:paraId="71FB8741" w14:textId="77777777" w:rsidR="00C751AA" w:rsidRDefault="00C751AA" w:rsidP="00C751AA">
      <w:pPr>
        <w:pStyle w:val="Akapitzlist"/>
        <w:numPr>
          <w:ilvl w:val="1"/>
          <w:numId w:val="28"/>
        </w:numPr>
        <w:spacing w:before="120" w:after="120" w:line="24" w:lineRule="atLeast"/>
        <w:outlineLvl w:val="0"/>
        <w:rPr>
          <w:rFonts w:asciiTheme="minorHAnsi" w:hAnsiTheme="minorHAnsi" w:cstheme="minorHAnsi"/>
          <w:sz w:val="20"/>
        </w:rPr>
      </w:pPr>
      <w:r w:rsidRPr="00BA3F3A">
        <w:rPr>
          <w:rFonts w:asciiTheme="minorHAnsi" w:hAnsiTheme="minorHAnsi" w:cstheme="minorHAnsi"/>
          <w:sz w:val="20"/>
        </w:rPr>
        <w:t xml:space="preserve">W przypadku Konsorcjum, zabezpieczenie należytego wykonania umowy może być wniesione przez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 xml:space="preserve">dowolnego członka/członków Konsorcjum. Z dokumentu powinno wynikać, w imieniu których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Wykonawców zabezpieczenie jest wnoszone.</w:t>
      </w:r>
      <w:bookmarkStart w:id="245" w:name="_Toc516566404"/>
      <w:bookmarkStart w:id="246" w:name="_Toc516581676"/>
      <w:bookmarkStart w:id="247" w:name="_Toc516734862"/>
      <w:bookmarkStart w:id="248" w:name="_Toc516738892"/>
    </w:p>
    <w:p w14:paraId="6FB8EEF2" w14:textId="5980C61E" w:rsidR="00C13D9A" w:rsidRPr="001E6A39" w:rsidRDefault="00C751AA" w:rsidP="00C751AA">
      <w:pPr>
        <w:pStyle w:val="Akapitzlist"/>
        <w:numPr>
          <w:ilvl w:val="1"/>
          <w:numId w:val="27"/>
        </w:numPr>
        <w:spacing w:before="120" w:after="120" w:line="24" w:lineRule="atLeast"/>
        <w:outlineLvl w:val="0"/>
        <w:rPr>
          <w:rFonts w:asciiTheme="minorHAnsi" w:hAnsiTheme="minorHAnsi" w:cstheme="minorHAnsi"/>
          <w:b/>
          <w:sz w:val="20"/>
        </w:rPr>
      </w:pPr>
      <w:r w:rsidRPr="00BA3F3A">
        <w:rPr>
          <w:rFonts w:asciiTheme="minorHAnsi" w:hAnsiTheme="minorHAnsi" w:cstheme="minorHAnsi"/>
          <w:sz w:val="20"/>
        </w:rPr>
        <w:t xml:space="preserve">Sposób wniesienia zabezpieczenia należytego wykonania umowy oraz zasady zwrotu zabezpieczenia </w:t>
      </w:r>
      <w:r w:rsidRPr="00BA3F3A">
        <w:rPr>
          <w:rFonts w:asciiTheme="minorHAnsi" w:hAnsiTheme="minorHAnsi" w:cstheme="minorHAnsi"/>
          <w:color w:val="FFFFFF" w:themeColor="background1"/>
          <w:sz w:val="20"/>
        </w:rPr>
        <w:t>…….</w:t>
      </w:r>
      <w:r w:rsidRPr="00BA3F3A">
        <w:rPr>
          <w:rFonts w:asciiTheme="minorHAnsi" w:hAnsiTheme="minorHAnsi" w:cstheme="minorHAnsi"/>
          <w:sz w:val="20"/>
        </w:rPr>
        <w:t>określa Procedura Zakupów PGE Dystrybucja S.A. oraz Projekt Umowy stanowiący</w:t>
      </w:r>
      <w:r w:rsidRPr="00BA3F3A">
        <w:rPr>
          <w:rFonts w:asciiTheme="minorHAnsi" w:hAnsiTheme="minorHAnsi" w:cstheme="minorHAnsi"/>
          <w:b/>
          <w:sz w:val="20"/>
        </w:rPr>
        <w:t xml:space="preserve"> Załącznik nr 5 do </w:t>
      </w:r>
      <w:r w:rsidRPr="00BA3F3A">
        <w:rPr>
          <w:rFonts w:asciiTheme="minorHAnsi" w:hAnsiTheme="minorHAnsi" w:cstheme="minorHAnsi"/>
          <w:b/>
          <w:color w:val="FFFFFF" w:themeColor="background1"/>
          <w:sz w:val="20"/>
        </w:rPr>
        <w:t>…….</w:t>
      </w:r>
      <w:r w:rsidRPr="00BA3F3A">
        <w:rPr>
          <w:rFonts w:asciiTheme="minorHAnsi" w:hAnsiTheme="minorHAnsi" w:cstheme="minorHAnsi"/>
          <w:b/>
          <w:sz w:val="20"/>
        </w:rPr>
        <w:t>SWZ</w:t>
      </w:r>
      <w:bookmarkEnd w:id="245"/>
      <w:bookmarkEnd w:id="246"/>
      <w:bookmarkEnd w:id="247"/>
      <w:bookmarkEnd w:id="248"/>
      <w:r w:rsidRPr="00BA3F3A">
        <w:rPr>
          <w:rFonts w:asciiTheme="minorHAnsi" w:hAnsiTheme="minorHAnsi" w:cstheme="minorHAnsi"/>
          <w:b/>
          <w:sz w:val="20"/>
        </w:rPr>
        <w:t>.</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t>INFORMACJE DOTYCZĄCE ZAWARCIA UMOWY</w:t>
      </w:r>
      <w:bookmarkStart w:id="249" w:name="_Toc516581678"/>
      <w:bookmarkStart w:id="250" w:name="_Toc516734864"/>
      <w:bookmarkStart w:id="251" w:name="_Toc516738894"/>
      <w:bookmarkStart w:id="252" w:name="_Toc354752478"/>
      <w:bookmarkStart w:id="253" w:name="_Toc516566406"/>
      <w:bookmarkEnd w:id="235"/>
      <w:bookmarkEnd w:id="236"/>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49"/>
      <w:bookmarkEnd w:id="250"/>
      <w:bookmarkEnd w:id="251"/>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lastRenderedPageBreak/>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54" w:name="_Toc516738895"/>
      <w:bookmarkStart w:id="255" w:name="_Toc69029877"/>
      <w:r w:rsidRPr="004B4556">
        <w:rPr>
          <w:rFonts w:cstheme="minorHAnsi"/>
          <w:sz w:val="20"/>
          <w:szCs w:val="20"/>
        </w:rPr>
        <w:t>DODATKOWE INFORMACJE</w:t>
      </w:r>
      <w:bookmarkEnd w:id="254"/>
      <w:bookmarkEnd w:id="255"/>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56" w:name="_Toc516581680"/>
      <w:bookmarkStart w:id="257" w:name="_Toc516734866"/>
      <w:bookmarkStart w:id="258"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59" w:name="_Toc354752479"/>
      <w:bookmarkEnd w:id="252"/>
      <w:bookmarkEnd w:id="253"/>
      <w:bookmarkEnd w:id="256"/>
      <w:bookmarkEnd w:id="257"/>
      <w:bookmarkEnd w:id="258"/>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0" w:name="_Toc516581681"/>
      <w:bookmarkStart w:id="261" w:name="_Toc516734867"/>
      <w:bookmarkStart w:id="262"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0"/>
      <w:bookmarkEnd w:id="261"/>
      <w:bookmarkEnd w:id="262"/>
    </w:p>
    <w:p w14:paraId="1807924E" w14:textId="561E205F"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3" w:name="_Toc354752480"/>
      <w:bookmarkStart w:id="264" w:name="_Toc516566408"/>
      <w:bookmarkStart w:id="265" w:name="_Toc516581682"/>
      <w:bookmarkStart w:id="266" w:name="_Toc516734868"/>
      <w:bookmarkStart w:id="267"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10D1">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68" w:name="_Toc516566409"/>
      <w:bookmarkStart w:id="269" w:name="_Toc516581683"/>
      <w:bookmarkStart w:id="270" w:name="_Toc516734869"/>
      <w:bookmarkStart w:id="271" w:name="_Toc516738899"/>
      <w:bookmarkEnd w:id="263"/>
      <w:bookmarkEnd w:id="264"/>
      <w:bookmarkEnd w:id="265"/>
      <w:bookmarkEnd w:id="266"/>
      <w:bookmarkEnd w:id="267"/>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2" w:name="_Toc354752481"/>
      <w:bookmarkStart w:id="273" w:name="_Toc516566410"/>
      <w:bookmarkStart w:id="274" w:name="_Toc516581684"/>
      <w:bookmarkStart w:id="275" w:name="_Toc516734870"/>
      <w:bookmarkStart w:id="276" w:name="_Toc516738900"/>
      <w:bookmarkEnd w:id="259"/>
      <w:bookmarkEnd w:id="268"/>
      <w:bookmarkEnd w:id="269"/>
      <w:bookmarkEnd w:id="270"/>
      <w:bookmarkEnd w:id="271"/>
    </w:p>
    <w:bookmarkEnd w:id="272"/>
    <w:bookmarkEnd w:id="273"/>
    <w:bookmarkEnd w:id="274"/>
    <w:bookmarkEnd w:id="275"/>
    <w:bookmarkEnd w:id="276"/>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46DC2257" w14:textId="3EFC32B5" w:rsidR="00115000" w:rsidRPr="007107A1" w:rsidRDefault="00E52E88" w:rsidP="0011500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10D1">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1A89132" w14:textId="77777777" w:rsidR="001D5D3D" w:rsidRDefault="001D5D3D" w:rsidP="00A45414">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w:t>
      </w:r>
      <w:r>
        <w:rPr>
          <w:rFonts w:asciiTheme="minorHAnsi" w:hAnsiTheme="minorHAnsi" w:cstheme="minorHAnsi"/>
          <w:sz w:val="20"/>
        </w:rPr>
        <w:t xml:space="preserve"> </w:t>
      </w:r>
    </w:p>
    <w:p w14:paraId="23477E88" w14:textId="1308C1BD"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t>
      </w:r>
      <w:r w:rsidR="00E410D1">
        <w:rPr>
          <w:rFonts w:asciiTheme="minorHAnsi" w:hAnsiTheme="minorHAnsi" w:cstheme="minorHAnsi"/>
          <w:sz w:val="20"/>
        </w:rPr>
        <w:br/>
      </w:r>
      <w:r w:rsidRPr="001D5D3D">
        <w:rPr>
          <w:rFonts w:asciiTheme="minorHAnsi" w:hAnsiTheme="minorHAnsi" w:cstheme="minorHAnsi"/>
          <w:sz w:val="20"/>
        </w:rPr>
        <w:t xml:space="preserve">w wyznaczonym terminie ankiety w zakresie gwarancji bezpieczeństwa przetwarzania danych osobowych. </w:t>
      </w:r>
    </w:p>
    <w:p w14:paraId="30E9F13E" w14:textId="5F64FD7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305225EC" w14:textId="08E9822C" w:rsidR="00CE37BB" w:rsidRPr="004B4556" w:rsidRDefault="00CE37BB" w:rsidP="001963FF">
      <w:pPr>
        <w:pStyle w:val="Nagwek1"/>
        <w:numPr>
          <w:ilvl w:val="0"/>
          <w:numId w:val="17"/>
        </w:numPr>
        <w:rPr>
          <w:rFonts w:cstheme="minorHAnsi"/>
          <w:sz w:val="20"/>
          <w:szCs w:val="20"/>
        </w:rPr>
      </w:pPr>
      <w:bookmarkStart w:id="277" w:name="_Toc516738901"/>
      <w:bookmarkStart w:id="278" w:name="_Toc69029878"/>
      <w:r w:rsidRPr="0001126F">
        <w:rPr>
          <w:rFonts w:cstheme="minorHAnsi"/>
          <w:sz w:val="20"/>
          <w:szCs w:val="20"/>
        </w:rPr>
        <w:t>AUKCJA ELEKTRONICZNA</w:t>
      </w:r>
      <w:bookmarkEnd w:id="277"/>
      <w:bookmarkEnd w:id="278"/>
      <w:r w:rsidR="001D783B" w:rsidRPr="0001126F">
        <w:rPr>
          <w:rFonts w:cstheme="minorHAnsi"/>
          <w:sz w:val="20"/>
          <w:szCs w:val="20"/>
        </w:rPr>
        <w:t xml:space="preserve"> / NEGOCJACJE</w:t>
      </w:r>
      <w:r w:rsidR="001D783B">
        <w:rPr>
          <w:rFonts w:cstheme="minorHAnsi"/>
          <w:sz w:val="20"/>
          <w:szCs w:val="20"/>
        </w:rPr>
        <w:t xml:space="preserve"> HANDLOWE</w:t>
      </w:r>
    </w:p>
    <w:p w14:paraId="2598E550" w14:textId="77777777" w:rsidR="00C1181F" w:rsidRPr="00687AC3" w:rsidRDefault="00C1181F" w:rsidP="00C1181F">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14:paraId="00AADF5D" w14:textId="75A1E8BA" w:rsidR="0021314B" w:rsidRPr="005C1810" w:rsidRDefault="00C1181F" w:rsidP="00C1181F">
      <w:pPr>
        <w:pStyle w:val="Tekstpodstawowy"/>
        <w:shd w:val="clear" w:color="auto" w:fill="FFFFFF"/>
        <w:tabs>
          <w:tab w:val="left" w:pos="851"/>
        </w:tabs>
        <w:spacing w:after="0" w:line="240" w:lineRule="auto"/>
        <w:ind w:left="567"/>
        <w:rPr>
          <w:rFonts w:asciiTheme="minorHAnsi" w:hAnsiTheme="minorHAnsi" w:cstheme="minorHAnsi"/>
          <w:b/>
          <w:sz w:val="20"/>
        </w:rPr>
      </w:pPr>
      <w:r w:rsidRPr="00C13D9A">
        <w:rPr>
          <w:rFonts w:asciiTheme="minorHAnsi" w:hAnsiTheme="minorHAnsi" w:cstheme="minorHAnsi"/>
          <w:sz w:val="20"/>
        </w:rPr>
        <w:t xml:space="preserve">Zamawiający </w:t>
      </w:r>
      <w:r w:rsidRPr="00D84A1D">
        <w:rPr>
          <w:rFonts w:asciiTheme="minorHAnsi" w:hAnsiTheme="minorHAnsi" w:cstheme="minorHAnsi"/>
          <w:b/>
          <w:sz w:val="20"/>
          <w:u w:val="single"/>
        </w:rPr>
        <w:t>przeprowadzi negocjacje handlowe</w:t>
      </w:r>
      <w:r w:rsidRPr="00C13D9A">
        <w:rPr>
          <w:rFonts w:asciiTheme="minorHAnsi" w:hAnsiTheme="minorHAnsi" w:cstheme="minorHAnsi"/>
          <w:sz w:val="20"/>
        </w:rPr>
        <w:t xml:space="preserve"> na zasadach określonych w Procedurze Zakupów PGE Dystrybucja S.A. Wykonawca potwierdza wynegocjowane warunki w Systemie Zakupowym.</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79" w:name="_Toc8212194"/>
      <w:bookmarkStart w:id="280" w:name="_Toc354752482"/>
      <w:bookmarkStart w:id="281" w:name="_Toc516738902"/>
      <w:r w:rsidRPr="001F1C4E">
        <w:rPr>
          <w:rFonts w:asciiTheme="minorHAnsi" w:hAnsiTheme="minorHAnsi" w:cstheme="minorHAnsi"/>
          <w:b/>
          <w:color w:val="365F91" w:themeColor="accent1" w:themeShade="BF"/>
          <w:sz w:val="20"/>
        </w:rPr>
        <w:t xml:space="preserve">SYSTEM ZAKUPOWY </w:t>
      </w:r>
      <w:bookmarkEnd w:id="279"/>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1">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w:t>
      </w:r>
      <w:r w:rsidRPr="00860A12">
        <w:rPr>
          <w:rFonts w:asciiTheme="minorHAnsi" w:hAnsiTheme="minorHAnsi" w:cstheme="minorHAnsi"/>
          <w:sz w:val="20"/>
        </w:rPr>
        <w:lastRenderedPageBreak/>
        <w:t xml:space="preserve">dostępnym w Systemie Zakupowym w zakładce „Dokumenty” </w:t>
      </w:r>
      <w:hyperlink r:id="rId22"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3" w:tooltip="03 Regulacje i procedury obowiązujące w PGE Dystrybucja S.A." w:history="1">
        <w:r w:rsidRPr="00EC1369">
          <w:rPr>
            <w:rStyle w:val="Hipercze"/>
            <w:rFonts w:asciiTheme="minorHAnsi" w:hAnsiTheme="minorHAnsi" w:cstheme="minorHAnsi"/>
            <w:sz w:val="20"/>
          </w:rPr>
          <w:t>w pliku „Regulacje i procedury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5F0B9623" w14:textId="77777777" w:rsidR="00562606" w:rsidRDefault="00332D38" w:rsidP="00562606">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947648">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3C7CB0D6" w:rsidR="00332D38" w:rsidRPr="002A5F5E" w:rsidRDefault="00332D38" w:rsidP="00562606">
      <w:pPr>
        <w:pStyle w:val="Akapitzlist"/>
        <w:numPr>
          <w:ilvl w:val="0"/>
          <w:numId w:val="30"/>
        </w:numPr>
        <w:shd w:val="clear" w:color="auto" w:fill="FFFFFF"/>
        <w:tabs>
          <w:tab w:val="left" w:pos="851"/>
        </w:tabs>
        <w:suppressAutoHyphens/>
        <w:spacing w:before="120" w:after="120" w:line="240" w:lineRule="auto"/>
        <w:rPr>
          <w:rFonts w:asciiTheme="minorHAnsi" w:hAnsiTheme="minorHAnsi" w:cstheme="minorHAnsi"/>
          <w:sz w:val="20"/>
          <w:lang w:val="en-US"/>
        </w:rPr>
      </w:pPr>
      <w:r w:rsidRPr="002A5F5E">
        <w:rPr>
          <w:rFonts w:asciiTheme="minorHAnsi" w:hAnsiTheme="minorHAnsi" w:cstheme="minorHAnsi"/>
          <w:sz w:val="20"/>
          <w:lang w:val="en-US"/>
        </w:rPr>
        <w:t xml:space="preserve">email: </w:t>
      </w:r>
      <w:hyperlink r:id="rId24" w:history="1">
        <w:r w:rsidRPr="002A5F5E">
          <w:rPr>
            <w:rStyle w:val="Hipercze"/>
            <w:rFonts w:asciiTheme="minorHAnsi" w:hAnsiTheme="minorHAnsi" w:cstheme="minorHAnsi"/>
            <w:b/>
            <w:sz w:val="20"/>
            <w:lang w:val="en-US"/>
          </w:rPr>
          <w:t>helpdesk.zakupy@gkpge.pl</w:t>
        </w:r>
      </w:hyperlink>
      <w:r w:rsidRPr="002A5F5E">
        <w:rPr>
          <w:rFonts w:asciiTheme="minorHAnsi" w:hAnsiTheme="minorHAnsi" w:cstheme="minorHAnsi"/>
          <w:sz w:val="20"/>
          <w:lang w:val="en-US"/>
        </w:rPr>
        <w:t>,</w:t>
      </w:r>
    </w:p>
    <w:p w14:paraId="325B8BA5" w14:textId="77777777" w:rsidR="00562606" w:rsidRP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2A5F5E">
        <w:rPr>
          <w:rFonts w:asciiTheme="minorHAnsi" w:hAnsiTheme="minorHAnsi" w:cstheme="minorHAnsi"/>
          <w:sz w:val="20"/>
          <w:lang w:val="en-US"/>
        </w:rPr>
        <w:t xml:space="preserve">  </w:t>
      </w:r>
      <w:r w:rsidR="00332D38" w:rsidRPr="00D57DB8">
        <w:rPr>
          <w:rFonts w:asciiTheme="minorHAnsi" w:hAnsiTheme="minorHAnsi" w:cstheme="minorHAnsi"/>
          <w:sz w:val="20"/>
        </w:rPr>
        <w:t xml:space="preserve">tel.: </w:t>
      </w:r>
      <w:r w:rsidR="00332D38" w:rsidRPr="00C0113E">
        <w:rPr>
          <w:rFonts w:asciiTheme="minorHAnsi" w:hAnsiTheme="minorHAnsi" w:cstheme="minorHAnsi"/>
          <w:b/>
          <w:sz w:val="20"/>
        </w:rPr>
        <w:t>+48 22 576 87 87</w:t>
      </w:r>
    </w:p>
    <w:p w14:paraId="720FBEE7" w14:textId="701ADCDE" w:rsid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562606">
        <w:rPr>
          <w:rFonts w:asciiTheme="minorHAnsi" w:hAnsiTheme="minorHAnsi" w:cstheme="minorHAnsi"/>
          <w:sz w:val="20"/>
        </w:rPr>
        <w:t xml:space="preserve">Zakres wsparcia dostępny na: </w:t>
      </w:r>
      <w:hyperlink r:id="rId25" w:history="1">
        <w:r w:rsidR="00C1181F" w:rsidRPr="00A5799F">
          <w:rPr>
            <w:rStyle w:val="Hipercze"/>
            <w:rFonts w:asciiTheme="minorHAnsi" w:hAnsiTheme="minorHAnsi" w:cstheme="minorHAnsi"/>
            <w:sz w:val="20"/>
          </w:rPr>
          <w:t>https://pgedystrybucja.pl/przetargi</w:t>
        </w:r>
      </w:hyperlink>
    </w:p>
    <w:p w14:paraId="2EBF34B2" w14:textId="6ED001C7"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CE1321E" w14:textId="1772867E"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1F9E5FE0" w14:textId="097084B5"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C9FDAF0" w14:textId="154705A2"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60AFC8A1" w14:textId="3C52940D"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4706859F" w14:textId="77777777" w:rsidR="00EB68F5" w:rsidRDefault="00EB68F5"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24DA8683" w14:textId="57C9CB77" w:rsidR="00C1181F"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738F7110" w14:textId="77777777" w:rsidR="00C1181F" w:rsidRPr="00562606" w:rsidRDefault="00C1181F" w:rsidP="00C1181F">
      <w:pPr>
        <w:pStyle w:val="Akapitzlist"/>
        <w:shd w:val="clear" w:color="auto" w:fill="FFFFFF"/>
        <w:tabs>
          <w:tab w:val="left" w:pos="851"/>
        </w:tabs>
        <w:suppressAutoHyphens/>
        <w:spacing w:before="120" w:after="120"/>
        <w:ind w:left="993"/>
        <w:rPr>
          <w:rFonts w:asciiTheme="minorHAnsi" w:hAnsiTheme="minorHAnsi" w:cstheme="minorHAnsi"/>
          <w:sz w:val="20"/>
        </w:rPr>
      </w:pPr>
    </w:p>
    <w:p w14:paraId="3052260E" w14:textId="14F2898C" w:rsidR="000B3117" w:rsidRPr="00891C1E" w:rsidRDefault="000B3117" w:rsidP="001963FF">
      <w:pPr>
        <w:pStyle w:val="Nagwek1"/>
        <w:numPr>
          <w:ilvl w:val="0"/>
          <w:numId w:val="17"/>
        </w:numPr>
        <w:shd w:val="clear" w:color="auto" w:fill="C6D9F1" w:themeFill="text2" w:themeFillTint="33"/>
        <w:rPr>
          <w:rFonts w:cstheme="minorHAnsi"/>
          <w:color w:val="auto"/>
          <w:sz w:val="20"/>
          <w:szCs w:val="20"/>
        </w:rPr>
      </w:pPr>
      <w:bookmarkStart w:id="282" w:name="_Toc69029879"/>
      <w:r w:rsidRPr="00891C1E">
        <w:rPr>
          <w:rFonts w:cstheme="minorHAnsi"/>
          <w:color w:val="auto"/>
          <w:sz w:val="20"/>
          <w:szCs w:val="20"/>
        </w:rPr>
        <w:lastRenderedPageBreak/>
        <w:t>ZAŁĄCZNIKI</w:t>
      </w:r>
      <w:bookmarkEnd w:id="280"/>
      <w:bookmarkEnd w:id="281"/>
      <w:bookmarkEnd w:id="282"/>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3" w:name="_Toc354752483"/>
      <w:bookmarkStart w:id="284" w:name="_Toc516566412"/>
      <w:bookmarkStart w:id="285" w:name="_Toc516581686"/>
      <w:bookmarkStart w:id="286" w:name="_Toc516734873"/>
      <w:bookmarkStart w:id="287"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3"/>
      <w:bookmarkEnd w:id="284"/>
      <w:bookmarkEnd w:id="285"/>
      <w:bookmarkEnd w:id="286"/>
      <w:bookmarkEnd w:id="287"/>
    </w:p>
    <w:p w14:paraId="1D158583" w14:textId="4B5064B1" w:rsidR="001C0F20" w:rsidRDefault="001C0F20" w:rsidP="001C0F20">
      <w:pPr>
        <w:spacing w:line="276" w:lineRule="auto"/>
        <w:ind w:firstLine="567"/>
        <w:outlineLvl w:val="0"/>
        <w:rPr>
          <w:rFonts w:asciiTheme="minorHAnsi" w:hAnsiTheme="minorHAnsi" w:cstheme="minorHAnsi"/>
          <w:sz w:val="20"/>
        </w:rPr>
      </w:pPr>
      <w:bookmarkStart w:id="288" w:name="_Toc354752484"/>
      <w:bookmarkStart w:id="289" w:name="_Toc516581687"/>
      <w:bookmarkStart w:id="290" w:name="_Toc516734874"/>
      <w:bookmarkStart w:id="291"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92" w:name="_Toc354752485"/>
      <w:bookmarkEnd w:id="288"/>
      <w:r w:rsidRPr="00365417">
        <w:rPr>
          <w:rFonts w:asciiTheme="minorHAnsi" w:hAnsiTheme="minorHAnsi" w:cstheme="minorHAnsi"/>
          <w:sz w:val="20"/>
        </w:rPr>
        <w:t xml:space="preserve"> </w:t>
      </w:r>
      <w:bookmarkEnd w:id="292"/>
      <w:r w:rsidRPr="00365417">
        <w:rPr>
          <w:rFonts w:asciiTheme="minorHAnsi" w:hAnsiTheme="minorHAnsi" w:cstheme="minorHAnsi"/>
          <w:sz w:val="20"/>
        </w:rPr>
        <w:t>Szczegółowy Opis Przedmiotu Zamówienia</w:t>
      </w:r>
    </w:p>
    <w:p w14:paraId="6D78C6E2" w14:textId="28532B06" w:rsidR="00C1181F" w:rsidRDefault="00C1181F" w:rsidP="00C1181F">
      <w:pPr>
        <w:spacing w:line="276" w:lineRule="auto"/>
        <w:ind w:firstLine="567"/>
        <w:outlineLvl w:val="0"/>
        <w:rPr>
          <w:rFonts w:asciiTheme="minorHAnsi" w:hAnsiTheme="minorHAnsi" w:cstheme="minorHAnsi"/>
          <w:sz w:val="20"/>
        </w:rPr>
      </w:pPr>
      <w:r w:rsidRPr="004910CF">
        <w:rPr>
          <w:rFonts w:asciiTheme="minorHAnsi" w:hAnsiTheme="minorHAnsi" w:cstheme="minorHAnsi"/>
          <w:b/>
          <w:sz w:val="20"/>
        </w:rPr>
        <w:t>Załącznik nr 1.1</w:t>
      </w:r>
      <w:r>
        <w:rPr>
          <w:rFonts w:asciiTheme="minorHAnsi" w:hAnsiTheme="minorHAnsi" w:cstheme="minorHAnsi"/>
          <w:sz w:val="20"/>
        </w:rPr>
        <w:t xml:space="preserve"> –</w:t>
      </w:r>
      <w:r w:rsidRPr="004910CF">
        <w:rPr>
          <w:rFonts w:asciiTheme="minorHAnsi" w:hAnsiTheme="minorHAnsi" w:cstheme="minorHAnsi"/>
          <w:sz w:val="20"/>
        </w:rPr>
        <w:t xml:space="preserve"> </w:t>
      </w:r>
      <w:r>
        <w:rPr>
          <w:rFonts w:asciiTheme="minorHAnsi" w:hAnsiTheme="minorHAnsi" w:cstheme="minorHAnsi"/>
          <w:sz w:val="20"/>
        </w:rPr>
        <w:t>Specyfikacja Techniczna</w:t>
      </w:r>
    </w:p>
    <w:p w14:paraId="578F63DE" w14:textId="4D72CF73" w:rsidR="003E7ED9" w:rsidRDefault="00C1181F" w:rsidP="00C1181F">
      <w:pPr>
        <w:spacing w:line="276" w:lineRule="auto"/>
        <w:ind w:firstLine="567"/>
        <w:outlineLvl w:val="0"/>
        <w:rPr>
          <w:rFonts w:asciiTheme="minorHAnsi" w:hAnsiTheme="minorHAnsi" w:cstheme="minorHAnsi"/>
          <w:sz w:val="20"/>
        </w:rPr>
      </w:pPr>
      <w:r w:rsidRPr="004910CF">
        <w:rPr>
          <w:rFonts w:asciiTheme="minorHAnsi" w:hAnsiTheme="minorHAnsi" w:cstheme="minorHAnsi"/>
          <w:b/>
          <w:sz w:val="20"/>
        </w:rPr>
        <w:t>Załącznik nr 1.2</w:t>
      </w:r>
      <w:r>
        <w:rPr>
          <w:rFonts w:asciiTheme="minorHAnsi" w:hAnsiTheme="minorHAnsi" w:cstheme="minorHAnsi"/>
          <w:sz w:val="20"/>
        </w:rPr>
        <w:t xml:space="preserve"> –</w:t>
      </w:r>
      <w:r w:rsidRPr="004910CF">
        <w:rPr>
          <w:rFonts w:asciiTheme="minorHAnsi" w:hAnsiTheme="minorHAnsi" w:cstheme="minorHAnsi"/>
          <w:sz w:val="20"/>
        </w:rPr>
        <w:t xml:space="preserve"> Istotne warunki zamówienia</w:t>
      </w:r>
    </w:p>
    <w:p w14:paraId="4D4CCE94" w14:textId="77777777" w:rsidR="001C0F20" w:rsidRPr="004B4556" w:rsidRDefault="001C0F20" w:rsidP="001C0F2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1C0F2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89"/>
      <w:bookmarkEnd w:id="290"/>
      <w:bookmarkEnd w:id="291"/>
      <w:r w:rsidRPr="004B4556">
        <w:rPr>
          <w:rFonts w:asciiTheme="minorHAnsi" w:hAnsiTheme="minorHAnsi" w:cstheme="minorHAnsi"/>
          <w:sz w:val="20"/>
        </w:rPr>
        <w:t>Formularz Oferty</w:t>
      </w:r>
      <w:r>
        <w:rPr>
          <w:rFonts w:asciiTheme="minorHAnsi" w:hAnsiTheme="minorHAnsi" w:cstheme="minorHAnsi"/>
          <w:sz w:val="20"/>
        </w:rPr>
        <w:t xml:space="preserve"> </w:t>
      </w:r>
    </w:p>
    <w:p w14:paraId="4433D37C" w14:textId="77777777" w:rsidR="001C0F20" w:rsidRDefault="001C0F20" w:rsidP="001C0F20">
      <w:pPr>
        <w:spacing w:line="276" w:lineRule="auto"/>
        <w:ind w:firstLine="567"/>
        <w:jc w:val="left"/>
        <w:outlineLvl w:val="0"/>
        <w:rPr>
          <w:rFonts w:asciiTheme="minorHAnsi" w:hAnsiTheme="minorHAnsi" w:cstheme="minorHAnsi"/>
          <w:sz w:val="20"/>
        </w:rPr>
      </w:pPr>
      <w:bookmarkStart w:id="293" w:name="_Toc354752486"/>
      <w:bookmarkStart w:id="294" w:name="_Toc516581688"/>
      <w:bookmarkStart w:id="295" w:name="_Toc516734875"/>
      <w:bookmarkStart w:id="296"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14:paraId="13451C42"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14:paraId="5D59CC24"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2022 r. </w:t>
      </w:r>
    </w:p>
    <w:bookmarkEnd w:id="293"/>
    <w:bookmarkEnd w:id="294"/>
    <w:bookmarkEnd w:id="295"/>
    <w:bookmarkEnd w:id="296"/>
    <w:p w14:paraId="760FA244" w14:textId="77777777" w:rsidR="001C0F20" w:rsidRPr="004B4556" w:rsidRDefault="001C0F20" w:rsidP="001C0F20">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Pr>
          <w:rFonts w:asciiTheme="minorHAnsi" w:hAnsiTheme="minorHAnsi" w:cstheme="minorHAnsi"/>
          <w:sz w:val="20"/>
        </w:rPr>
        <w:t>Projekt U</w:t>
      </w:r>
      <w:r w:rsidRPr="004B4556">
        <w:rPr>
          <w:rFonts w:asciiTheme="minorHAnsi" w:hAnsiTheme="minorHAnsi" w:cstheme="minorHAnsi"/>
          <w:sz w:val="20"/>
        </w:rPr>
        <w:t>mowy zakupowej</w:t>
      </w:r>
    </w:p>
    <w:p w14:paraId="50D10463" w14:textId="77777777" w:rsidR="001C0F20" w:rsidRPr="004B4556" w:rsidRDefault="001C0F20" w:rsidP="001C0F20">
      <w:pPr>
        <w:spacing w:line="276"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7DA22333" w14:textId="3B8D79D2" w:rsidR="001C0F20" w:rsidRPr="00365417" w:rsidRDefault="001C0F20" w:rsidP="002F34A4">
      <w:pPr>
        <w:spacing w:line="276" w:lineRule="auto"/>
        <w:ind w:firstLine="567"/>
        <w:jc w:val="left"/>
        <w:outlineLvl w:val="0"/>
        <w:rPr>
          <w:rFonts w:asciiTheme="minorHAnsi" w:hAnsiTheme="minorHAnsi" w:cstheme="minorHAnsi"/>
          <w:sz w:val="20"/>
        </w:rPr>
      </w:pPr>
      <w:r w:rsidRPr="00365417">
        <w:rPr>
          <w:rFonts w:asciiTheme="minorHAnsi" w:hAnsiTheme="minorHAnsi" w:cstheme="minorHAnsi"/>
          <w:b/>
          <w:sz w:val="20"/>
        </w:rPr>
        <w:t>Załącznik nr 7</w:t>
      </w:r>
      <w:r w:rsidRPr="00365417">
        <w:rPr>
          <w:rFonts w:asciiTheme="minorHAnsi" w:hAnsiTheme="minorHAnsi" w:cstheme="minorHAnsi"/>
          <w:sz w:val="20"/>
        </w:rPr>
        <w:t xml:space="preserve"> – </w:t>
      </w:r>
      <w:r>
        <w:rPr>
          <w:rFonts w:asciiTheme="minorHAnsi" w:hAnsiTheme="minorHAnsi" w:cstheme="minorHAnsi"/>
          <w:sz w:val="20"/>
        </w:rPr>
        <w:t xml:space="preserve">Oświadczenie Wykonawcy </w:t>
      </w:r>
      <w:r w:rsidR="002F34A4">
        <w:rPr>
          <w:rFonts w:asciiTheme="minorHAnsi" w:hAnsiTheme="minorHAnsi" w:cstheme="minorHAnsi"/>
          <w:sz w:val="20"/>
        </w:rPr>
        <w:t>–</w:t>
      </w:r>
      <w:r>
        <w:rPr>
          <w:rFonts w:asciiTheme="minorHAnsi" w:hAnsiTheme="minorHAnsi" w:cstheme="minorHAnsi"/>
          <w:sz w:val="20"/>
        </w:rPr>
        <w:t xml:space="preserve"> Doświadczenie</w:t>
      </w:r>
      <w:r w:rsidRPr="00365417">
        <w:rPr>
          <w:rFonts w:asciiTheme="minorHAnsi" w:hAnsiTheme="minorHAnsi" w:cstheme="minorHAnsi"/>
          <w:sz w:val="20"/>
        </w:rPr>
        <w:t xml:space="preserve"> </w:t>
      </w:r>
      <w:r w:rsidRPr="00624E7F">
        <w:rPr>
          <w:rFonts w:asciiTheme="minorHAnsi" w:hAnsiTheme="minorHAnsi" w:cstheme="minorHAnsi"/>
          <w:color w:val="FF0000"/>
          <w:sz w:val="20"/>
        </w:rPr>
        <w:t xml:space="preserve"> </w:t>
      </w:r>
    </w:p>
    <w:p w14:paraId="502D688B" w14:textId="77777777" w:rsidR="001C0F20" w:rsidRDefault="001C0F20" w:rsidP="001C0F20">
      <w:pPr>
        <w:spacing w:line="276" w:lineRule="auto"/>
        <w:ind w:firstLine="567"/>
        <w:jc w:val="left"/>
        <w:outlineLvl w:val="0"/>
        <w:rPr>
          <w:rFonts w:asciiTheme="minorHAnsi" w:hAnsiTheme="minorHAnsi" w:cstheme="minorHAnsi"/>
          <w:sz w:val="20"/>
        </w:rPr>
      </w:pPr>
      <w:bookmarkStart w:id="297" w:name="_Toc516734876"/>
      <w:bookmarkStart w:id="298"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297"/>
      <w:bookmarkEnd w:id="298"/>
      <w:r>
        <w:rPr>
          <w:rFonts w:asciiTheme="minorHAnsi" w:hAnsiTheme="minorHAnsi" w:cstheme="minorHAnsi"/>
          <w:sz w:val="20"/>
        </w:rPr>
        <w:t>Oświadczenie Wykonawcy – Osoby</w:t>
      </w:r>
    </w:p>
    <w:p w14:paraId="06BE1CBF" w14:textId="28A9DC12" w:rsidR="001C0F20" w:rsidRDefault="001C0F20" w:rsidP="00F10152">
      <w:pPr>
        <w:spacing w:line="276" w:lineRule="auto"/>
        <w:ind w:firstLine="567"/>
        <w:jc w:val="left"/>
        <w:outlineLvl w:val="0"/>
        <w:rPr>
          <w:rFonts w:asciiTheme="minorHAnsi" w:hAnsiTheme="minorHAnsi" w:cstheme="minorHAnsi"/>
          <w:sz w:val="20"/>
        </w:rPr>
      </w:pPr>
      <w:r w:rsidRPr="007048F2">
        <w:rPr>
          <w:rFonts w:asciiTheme="minorHAnsi" w:hAnsiTheme="minorHAnsi" w:cstheme="minorHAnsi"/>
          <w:b/>
          <w:sz w:val="20"/>
        </w:rPr>
        <w:t xml:space="preserve">Załącznik nr </w:t>
      </w:r>
      <w:r w:rsidR="00CF6A47">
        <w:rPr>
          <w:rFonts w:asciiTheme="minorHAnsi" w:hAnsiTheme="minorHAnsi" w:cstheme="minorHAnsi"/>
          <w:b/>
          <w:sz w:val="20"/>
        </w:rPr>
        <w:t>10</w:t>
      </w:r>
      <w:r>
        <w:rPr>
          <w:rFonts w:asciiTheme="minorHAnsi" w:hAnsiTheme="minorHAnsi" w:cstheme="minorHAnsi"/>
          <w:sz w:val="20"/>
        </w:rPr>
        <w:t xml:space="preserve"> –</w:t>
      </w:r>
      <w:r w:rsidR="00F10152">
        <w:rPr>
          <w:rFonts w:asciiTheme="minorHAnsi" w:hAnsiTheme="minorHAnsi" w:cstheme="minorHAnsi"/>
          <w:sz w:val="20"/>
        </w:rPr>
        <w:t xml:space="preserve"> </w:t>
      </w:r>
      <w:r w:rsidRPr="001D5D3D">
        <w:rPr>
          <w:rFonts w:asciiTheme="minorHAnsi" w:hAnsiTheme="minorHAnsi" w:cstheme="minorHAnsi"/>
          <w:sz w:val="20"/>
        </w:rPr>
        <w:t>Ankieta weryfikacji Wykonawcy w zakresie zapew</w:t>
      </w:r>
      <w:r>
        <w:rPr>
          <w:rFonts w:asciiTheme="minorHAnsi" w:hAnsiTheme="minorHAnsi" w:cstheme="minorHAnsi"/>
          <w:sz w:val="20"/>
        </w:rPr>
        <w:t xml:space="preserve">nienia gwarancji bezpieczeństwa                           </w:t>
      </w:r>
    </w:p>
    <w:p w14:paraId="4A0DEF01" w14:textId="165914E8" w:rsidR="00996736" w:rsidRDefault="00F10152"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Pr>
          <w:rFonts w:asciiTheme="minorHAnsi" w:hAnsiTheme="minorHAnsi" w:cstheme="minorHAnsi"/>
          <w:sz w:val="20"/>
        </w:rPr>
        <w:t xml:space="preserve">   </w:t>
      </w:r>
      <w:r w:rsidR="001C0F20" w:rsidRPr="001D5D3D">
        <w:rPr>
          <w:rFonts w:asciiTheme="minorHAnsi" w:hAnsiTheme="minorHAnsi" w:cstheme="minorHAnsi"/>
          <w:sz w:val="20"/>
        </w:rPr>
        <w:t>przetwarzania danych osobowych</w:t>
      </w:r>
    </w:p>
    <w:p w14:paraId="1BBC47AE" w14:textId="5CF6F7CD" w:rsidR="00767491" w:rsidRPr="004B4556" w:rsidRDefault="00767491" w:rsidP="00807616">
      <w:pPr>
        <w:spacing w:line="276" w:lineRule="auto"/>
        <w:jc w:val="left"/>
        <w:outlineLvl w:val="0"/>
        <w:rPr>
          <w:rFonts w:asciiTheme="minorHAnsi" w:hAnsiTheme="minorHAnsi" w:cstheme="minorHAnsi"/>
          <w:sz w:val="20"/>
        </w:rPr>
      </w:pPr>
    </w:p>
    <w:sectPr w:rsidR="00767491" w:rsidRPr="004B4556" w:rsidSect="0044467A">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D06769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763F9">
      <w:rPr>
        <w:rFonts w:ascii="Calibri" w:hAnsi="Calibri"/>
        <w:bCs/>
        <w:noProof/>
        <w:sz w:val="16"/>
        <w:szCs w:val="16"/>
      </w:rPr>
      <w:t>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763F9">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7E43BB1" w:rsidR="002369B6" w:rsidRPr="00A31C7C" w:rsidRDefault="002369B6" w:rsidP="006D6FD5">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9D1521">
          <w:rPr>
            <w:rFonts w:asciiTheme="minorHAnsi" w:hAnsiTheme="minorHAnsi" w:cstheme="minorHAnsi"/>
            <w:b/>
            <w:sz w:val="18"/>
            <w:szCs w:val="18"/>
          </w:rPr>
          <w:t>POST/DYS/OLD/GZ/0</w:t>
        </w:r>
        <w:r w:rsidR="007632DF">
          <w:rPr>
            <w:rFonts w:asciiTheme="minorHAnsi" w:hAnsiTheme="minorHAnsi" w:cstheme="minorHAnsi"/>
            <w:b/>
            <w:sz w:val="18"/>
            <w:szCs w:val="18"/>
          </w:rPr>
          <w:t>3291</w:t>
        </w:r>
        <w:r w:rsidR="006D6FD5" w:rsidRPr="006D6FD5">
          <w:rPr>
            <w:rFonts w:asciiTheme="minorHAnsi" w:hAnsiTheme="minorHAnsi" w:cstheme="minorHAnsi"/>
            <w:b/>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1"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26"/>
  </w:num>
  <w:num w:numId="5">
    <w:abstractNumId w:val="13"/>
  </w:num>
  <w:num w:numId="6">
    <w:abstractNumId w:val="8"/>
  </w:num>
  <w:num w:numId="7">
    <w:abstractNumId w:val="18"/>
  </w:num>
  <w:num w:numId="8">
    <w:abstractNumId w:val="31"/>
  </w:num>
  <w:num w:numId="9">
    <w:abstractNumId w:val="7"/>
  </w:num>
  <w:num w:numId="10">
    <w:abstractNumId w:val="21"/>
  </w:num>
  <w:num w:numId="11">
    <w:abstractNumId w:val="12"/>
  </w:num>
  <w:num w:numId="12">
    <w:abstractNumId w:val="6"/>
  </w:num>
  <w:num w:numId="13">
    <w:abstractNumId w:val="16"/>
  </w:num>
  <w:num w:numId="14">
    <w:abstractNumId w:val="20"/>
  </w:num>
  <w:num w:numId="15">
    <w:abstractNumId w:val="32"/>
  </w:num>
  <w:num w:numId="16">
    <w:abstractNumId w:val="11"/>
  </w:num>
  <w:num w:numId="17">
    <w:abstractNumId w:val="4"/>
  </w:num>
  <w:num w:numId="18">
    <w:abstractNumId w:val="17"/>
  </w:num>
  <w:num w:numId="19">
    <w:abstractNumId w:val="19"/>
  </w:num>
  <w:num w:numId="20">
    <w:abstractNumId w:val="24"/>
  </w:num>
  <w:num w:numId="21">
    <w:abstractNumId w:val="9"/>
  </w:num>
  <w:num w:numId="22">
    <w:abstractNumId w:val="29"/>
  </w:num>
  <w:num w:numId="23">
    <w:abstractNumId w:val="28"/>
  </w:num>
  <w:num w:numId="24">
    <w:abstractNumId w:val="14"/>
  </w:num>
  <w:num w:numId="25">
    <w:abstractNumId w:val="25"/>
  </w:num>
  <w:num w:numId="26">
    <w:abstractNumId w:val="27"/>
  </w:num>
  <w:num w:numId="27">
    <w:abstractNumId w:val="10"/>
  </w:num>
  <w:num w:numId="28">
    <w:abstractNumId w:val="22"/>
  </w:num>
  <w:num w:numId="29">
    <w:abstractNumId w:val="23"/>
  </w:num>
  <w:num w:numId="30">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26F"/>
    <w:rsid w:val="000113F5"/>
    <w:rsid w:val="00011427"/>
    <w:rsid w:val="0001198D"/>
    <w:rsid w:val="00012AB7"/>
    <w:rsid w:val="00012F79"/>
    <w:rsid w:val="00012FB0"/>
    <w:rsid w:val="00013600"/>
    <w:rsid w:val="00013A2B"/>
    <w:rsid w:val="0001441E"/>
    <w:rsid w:val="0001515A"/>
    <w:rsid w:val="0001784E"/>
    <w:rsid w:val="00017CEA"/>
    <w:rsid w:val="0002064D"/>
    <w:rsid w:val="00020792"/>
    <w:rsid w:val="00020F62"/>
    <w:rsid w:val="00022BEE"/>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05E8"/>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3C8"/>
    <w:rsid w:val="00096F2D"/>
    <w:rsid w:val="00097236"/>
    <w:rsid w:val="000A072E"/>
    <w:rsid w:val="000A2EBE"/>
    <w:rsid w:val="000A31C6"/>
    <w:rsid w:val="000A38FC"/>
    <w:rsid w:val="000A3D72"/>
    <w:rsid w:val="000A46EB"/>
    <w:rsid w:val="000A488B"/>
    <w:rsid w:val="000A6207"/>
    <w:rsid w:val="000B20CA"/>
    <w:rsid w:val="000B2838"/>
    <w:rsid w:val="000B3117"/>
    <w:rsid w:val="000B32FA"/>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B18"/>
    <w:rsid w:val="00122C4C"/>
    <w:rsid w:val="00123BED"/>
    <w:rsid w:val="0012465E"/>
    <w:rsid w:val="0012498D"/>
    <w:rsid w:val="00124CBB"/>
    <w:rsid w:val="0012511B"/>
    <w:rsid w:val="001270AE"/>
    <w:rsid w:val="00127DB5"/>
    <w:rsid w:val="00131998"/>
    <w:rsid w:val="00131A23"/>
    <w:rsid w:val="001324E6"/>
    <w:rsid w:val="001325C6"/>
    <w:rsid w:val="001355C1"/>
    <w:rsid w:val="00136B02"/>
    <w:rsid w:val="00137254"/>
    <w:rsid w:val="001402AB"/>
    <w:rsid w:val="001407D1"/>
    <w:rsid w:val="00143271"/>
    <w:rsid w:val="00144F3F"/>
    <w:rsid w:val="0014526B"/>
    <w:rsid w:val="00145336"/>
    <w:rsid w:val="00145825"/>
    <w:rsid w:val="00146556"/>
    <w:rsid w:val="00150013"/>
    <w:rsid w:val="00151B6F"/>
    <w:rsid w:val="001532DD"/>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B38"/>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F20"/>
    <w:rsid w:val="001C2D48"/>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373"/>
    <w:rsid w:val="00203C4B"/>
    <w:rsid w:val="00204C16"/>
    <w:rsid w:val="0020505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2674"/>
    <w:rsid w:val="002532C3"/>
    <w:rsid w:val="002548AD"/>
    <w:rsid w:val="00255149"/>
    <w:rsid w:val="002600A9"/>
    <w:rsid w:val="00261683"/>
    <w:rsid w:val="00262365"/>
    <w:rsid w:val="0026273C"/>
    <w:rsid w:val="00262836"/>
    <w:rsid w:val="002633C2"/>
    <w:rsid w:val="00264972"/>
    <w:rsid w:val="00264F36"/>
    <w:rsid w:val="00265C9F"/>
    <w:rsid w:val="0026700B"/>
    <w:rsid w:val="002671BC"/>
    <w:rsid w:val="00267616"/>
    <w:rsid w:val="002677DA"/>
    <w:rsid w:val="00267858"/>
    <w:rsid w:val="0027034A"/>
    <w:rsid w:val="00271154"/>
    <w:rsid w:val="002713A0"/>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BFE"/>
    <w:rsid w:val="002A1E74"/>
    <w:rsid w:val="002A347B"/>
    <w:rsid w:val="002A3ECF"/>
    <w:rsid w:val="002A5BC6"/>
    <w:rsid w:val="002A5F5E"/>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53A"/>
    <w:rsid w:val="002D5873"/>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44F"/>
    <w:rsid w:val="003868FF"/>
    <w:rsid w:val="003876F1"/>
    <w:rsid w:val="0039187A"/>
    <w:rsid w:val="00391A22"/>
    <w:rsid w:val="0039272D"/>
    <w:rsid w:val="00392A83"/>
    <w:rsid w:val="00393905"/>
    <w:rsid w:val="003939C1"/>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E7ED9"/>
    <w:rsid w:val="003F31AB"/>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437E"/>
    <w:rsid w:val="004859BD"/>
    <w:rsid w:val="00485DB0"/>
    <w:rsid w:val="00486F9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D8F"/>
    <w:rsid w:val="004C5E08"/>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6B31"/>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266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606"/>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08F"/>
    <w:rsid w:val="00585723"/>
    <w:rsid w:val="00585EFB"/>
    <w:rsid w:val="00585F01"/>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10"/>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894"/>
    <w:rsid w:val="00682A4B"/>
    <w:rsid w:val="00684F68"/>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550D"/>
    <w:rsid w:val="006D630C"/>
    <w:rsid w:val="006D6FD5"/>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76F9"/>
    <w:rsid w:val="007304DE"/>
    <w:rsid w:val="00730560"/>
    <w:rsid w:val="00730FB0"/>
    <w:rsid w:val="007317FB"/>
    <w:rsid w:val="00731E14"/>
    <w:rsid w:val="007328FA"/>
    <w:rsid w:val="0073385E"/>
    <w:rsid w:val="00734385"/>
    <w:rsid w:val="007368C8"/>
    <w:rsid w:val="00737EE5"/>
    <w:rsid w:val="00741AF7"/>
    <w:rsid w:val="00742E71"/>
    <w:rsid w:val="00743EAC"/>
    <w:rsid w:val="00744148"/>
    <w:rsid w:val="007475ED"/>
    <w:rsid w:val="007479FF"/>
    <w:rsid w:val="00747CE8"/>
    <w:rsid w:val="00750F12"/>
    <w:rsid w:val="007510F6"/>
    <w:rsid w:val="00752D91"/>
    <w:rsid w:val="00753975"/>
    <w:rsid w:val="00753AE1"/>
    <w:rsid w:val="00754269"/>
    <w:rsid w:val="007545C9"/>
    <w:rsid w:val="0075703F"/>
    <w:rsid w:val="0075762D"/>
    <w:rsid w:val="007612A6"/>
    <w:rsid w:val="00761CC5"/>
    <w:rsid w:val="00762162"/>
    <w:rsid w:val="00762CB8"/>
    <w:rsid w:val="007632DF"/>
    <w:rsid w:val="00764F22"/>
    <w:rsid w:val="007656E2"/>
    <w:rsid w:val="007659E5"/>
    <w:rsid w:val="00767491"/>
    <w:rsid w:val="007706BE"/>
    <w:rsid w:val="00771351"/>
    <w:rsid w:val="0077226B"/>
    <w:rsid w:val="00772F7B"/>
    <w:rsid w:val="007742B7"/>
    <w:rsid w:val="00774DBC"/>
    <w:rsid w:val="007768C9"/>
    <w:rsid w:val="00776DF7"/>
    <w:rsid w:val="0078041D"/>
    <w:rsid w:val="00781526"/>
    <w:rsid w:val="00782340"/>
    <w:rsid w:val="0078319C"/>
    <w:rsid w:val="00783534"/>
    <w:rsid w:val="00785158"/>
    <w:rsid w:val="00787155"/>
    <w:rsid w:val="00787A76"/>
    <w:rsid w:val="00787A90"/>
    <w:rsid w:val="0079066D"/>
    <w:rsid w:val="00790730"/>
    <w:rsid w:val="00791272"/>
    <w:rsid w:val="007913F6"/>
    <w:rsid w:val="00792212"/>
    <w:rsid w:val="00792F1C"/>
    <w:rsid w:val="00795EC8"/>
    <w:rsid w:val="007969CF"/>
    <w:rsid w:val="0079738C"/>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3C38"/>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46C25"/>
    <w:rsid w:val="00852219"/>
    <w:rsid w:val="008527CA"/>
    <w:rsid w:val="008530CC"/>
    <w:rsid w:val="0085763D"/>
    <w:rsid w:val="00857C86"/>
    <w:rsid w:val="0086173D"/>
    <w:rsid w:val="008623CC"/>
    <w:rsid w:val="00862D0A"/>
    <w:rsid w:val="00865E3B"/>
    <w:rsid w:val="00865F25"/>
    <w:rsid w:val="00867C48"/>
    <w:rsid w:val="00867D83"/>
    <w:rsid w:val="008700D0"/>
    <w:rsid w:val="008718D9"/>
    <w:rsid w:val="0087290E"/>
    <w:rsid w:val="0087310E"/>
    <w:rsid w:val="00876028"/>
    <w:rsid w:val="00876BC6"/>
    <w:rsid w:val="00877A05"/>
    <w:rsid w:val="00877F1D"/>
    <w:rsid w:val="00880069"/>
    <w:rsid w:val="00880C90"/>
    <w:rsid w:val="00881138"/>
    <w:rsid w:val="00883EF2"/>
    <w:rsid w:val="0088627F"/>
    <w:rsid w:val="0088718A"/>
    <w:rsid w:val="00887458"/>
    <w:rsid w:val="00890AFE"/>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648"/>
    <w:rsid w:val="0095016D"/>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736"/>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521"/>
    <w:rsid w:val="009D1EEC"/>
    <w:rsid w:val="009D3A3A"/>
    <w:rsid w:val="009D4299"/>
    <w:rsid w:val="009D56D8"/>
    <w:rsid w:val="009D6F12"/>
    <w:rsid w:val="009D708F"/>
    <w:rsid w:val="009E00A8"/>
    <w:rsid w:val="009E0849"/>
    <w:rsid w:val="009E0A55"/>
    <w:rsid w:val="009E12A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67"/>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30AF"/>
    <w:rsid w:val="00B03BF7"/>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4B82"/>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7F04"/>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181F"/>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1AA"/>
    <w:rsid w:val="00C754D0"/>
    <w:rsid w:val="00C75D4B"/>
    <w:rsid w:val="00C75EB0"/>
    <w:rsid w:val="00C76DD0"/>
    <w:rsid w:val="00C80221"/>
    <w:rsid w:val="00C80612"/>
    <w:rsid w:val="00C80756"/>
    <w:rsid w:val="00C81070"/>
    <w:rsid w:val="00C83B85"/>
    <w:rsid w:val="00C86884"/>
    <w:rsid w:val="00C87108"/>
    <w:rsid w:val="00C87D63"/>
    <w:rsid w:val="00C91041"/>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791"/>
    <w:rsid w:val="00CF5FF9"/>
    <w:rsid w:val="00CF6A47"/>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47D1"/>
    <w:rsid w:val="00D24DBD"/>
    <w:rsid w:val="00D27BF4"/>
    <w:rsid w:val="00D3114C"/>
    <w:rsid w:val="00D319DD"/>
    <w:rsid w:val="00D33389"/>
    <w:rsid w:val="00D35265"/>
    <w:rsid w:val="00D374E7"/>
    <w:rsid w:val="00D4011E"/>
    <w:rsid w:val="00D41914"/>
    <w:rsid w:val="00D42C86"/>
    <w:rsid w:val="00D42F0B"/>
    <w:rsid w:val="00D42FAF"/>
    <w:rsid w:val="00D44C8E"/>
    <w:rsid w:val="00D45512"/>
    <w:rsid w:val="00D46A1C"/>
    <w:rsid w:val="00D477A5"/>
    <w:rsid w:val="00D50A2A"/>
    <w:rsid w:val="00D52AB1"/>
    <w:rsid w:val="00D5515E"/>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4A1D"/>
    <w:rsid w:val="00D8519B"/>
    <w:rsid w:val="00D86054"/>
    <w:rsid w:val="00D860E1"/>
    <w:rsid w:val="00D86300"/>
    <w:rsid w:val="00D86504"/>
    <w:rsid w:val="00D86F81"/>
    <w:rsid w:val="00D8712F"/>
    <w:rsid w:val="00D87EFA"/>
    <w:rsid w:val="00D90546"/>
    <w:rsid w:val="00D914F4"/>
    <w:rsid w:val="00D93351"/>
    <w:rsid w:val="00D936DC"/>
    <w:rsid w:val="00D94096"/>
    <w:rsid w:val="00DA07F7"/>
    <w:rsid w:val="00DA1A9E"/>
    <w:rsid w:val="00DA1B76"/>
    <w:rsid w:val="00DA26E8"/>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58DD"/>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0D1"/>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3B7D"/>
    <w:rsid w:val="00E54216"/>
    <w:rsid w:val="00E5431E"/>
    <w:rsid w:val="00E54B4B"/>
    <w:rsid w:val="00E54BCD"/>
    <w:rsid w:val="00E5514C"/>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63F9"/>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68F5"/>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5C18"/>
    <w:rsid w:val="00F10152"/>
    <w:rsid w:val="00F11525"/>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2E99"/>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60980558">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pgedystrybucja.pl/przetargi"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1FF6"/>
    <w:rsid w:val="00035FD2"/>
    <w:rsid w:val="00043B85"/>
    <w:rsid w:val="00073253"/>
    <w:rsid w:val="0007374A"/>
    <w:rsid w:val="000771D7"/>
    <w:rsid w:val="00092C4D"/>
    <w:rsid w:val="00093F96"/>
    <w:rsid w:val="000A1772"/>
    <w:rsid w:val="000A3410"/>
    <w:rsid w:val="000B4E1F"/>
    <w:rsid w:val="000B5078"/>
    <w:rsid w:val="000B5F48"/>
    <w:rsid w:val="000F3FFD"/>
    <w:rsid w:val="00111053"/>
    <w:rsid w:val="00112677"/>
    <w:rsid w:val="00121F39"/>
    <w:rsid w:val="00126074"/>
    <w:rsid w:val="00177445"/>
    <w:rsid w:val="001B3BBC"/>
    <w:rsid w:val="001E3168"/>
    <w:rsid w:val="001F4D89"/>
    <w:rsid w:val="001F6AB2"/>
    <w:rsid w:val="002036E3"/>
    <w:rsid w:val="00263FCB"/>
    <w:rsid w:val="0026785F"/>
    <w:rsid w:val="0027219B"/>
    <w:rsid w:val="0027490D"/>
    <w:rsid w:val="002A5475"/>
    <w:rsid w:val="002D0025"/>
    <w:rsid w:val="002D5E73"/>
    <w:rsid w:val="002D7537"/>
    <w:rsid w:val="002E672A"/>
    <w:rsid w:val="00304610"/>
    <w:rsid w:val="00305222"/>
    <w:rsid w:val="003260FD"/>
    <w:rsid w:val="00334924"/>
    <w:rsid w:val="00337C7B"/>
    <w:rsid w:val="00341F66"/>
    <w:rsid w:val="00361D44"/>
    <w:rsid w:val="003738F3"/>
    <w:rsid w:val="0038682C"/>
    <w:rsid w:val="003B4965"/>
    <w:rsid w:val="003C4DB9"/>
    <w:rsid w:val="003D3C04"/>
    <w:rsid w:val="003F09C6"/>
    <w:rsid w:val="003F28CC"/>
    <w:rsid w:val="003F5676"/>
    <w:rsid w:val="00411585"/>
    <w:rsid w:val="00411C41"/>
    <w:rsid w:val="00424304"/>
    <w:rsid w:val="0046204C"/>
    <w:rsid w:val="00466F50"/>
    <w:rsid w:val="004755AE"/>
    <w:rsid w:val="00486F64"/>
    <w:rsid w:val="00496BD7"/>
    <w:rsid w:val="004A576D"/>
    <w:rsid w:val="004B30AB"/>
    <w:rsid w:val="00504382"/>
    <w:rsid w:val="00504B11"/>
    <w:rsid w:val="005501CF"/>
    <w:rsid w:val="00572957"/>
    <w:rsid w:val="00584919"/>
    <w:rsid w:val="005A14F1"/>
    <w:rsid w:val="005A7CF4"/>
    <w:rsid w:val="005B35FD"/>
    <w:rsid w:val="005B5BB2"/>
    <w:rsid w:val="005C2FE2"/>
    <w:rsid w:val="005C354C"/>
    <w:rsid w:val="005D6B25"/>
    <w:rsid w:val="00600D1C"/>
    <w:rsid w:val="00604DBC"/>
    <w:rsid w:val="0063387A"/>
    <w:rsid w:val="0065335A"/>
    <w:rsid w:val="00657004"/>
    <w:rsid w:val="0067331D"/>
    <w:rsid w:val="00690FBB"/>
    <w:rsid w:val="006A006C"/>
    <w:rsid w:val="006A12EA"/>
    <w:rsid w:val="006A4C38"/>
    <w:rsid w:val="006A4DB0"/>
    <w:rsid w:val="006A6AFD"/>
    <w:rsid w:val="006F0971"/>
    <w:rsid w:val="006F648F"/>
    <w:rsid w:val="00700E56"/>
    <w:rsid w:val="007039E9"/>
    <w:rsid w:val="007201B8"/>
    <w:rsid w:val="00723176"/>
    <w:rsid w:val="00774C40"/>
    <w:rsid w:val="0079257E"/>
    <w:rsid w:val="007D2B04"/>
    <w:rsid w:val="007E096F"/>
    <w:rsid w:val="007E391E"/>
    <w:rsid w:val="007F437C"/>
    <w:rsid w:val="007F5D3C"/>
    <w:rsid w:val="00832C41"/>
    <w:rsid w:val="00843AAE"/>
    <w:rsid w:val="00851773"/>
    <w:rsid w:val="0085262B"/>
    <w:rsid w:val="00876E33"/>
    <w:rsid w:val="008803EB"/>
    <w:rsid w:val="00893161"/>
    <w:rsid w:val="008E019D"/>
    <w:rsid w:val="008E031B"/>
    <w:rsid w:val="008F4E57"/>
    <w:rsid w:val="0091435D"/>
    <w:rsid w:val="00920F8B"/>
    <w:rsid w:val="00923549"/>
    <w:rsid w:val="009324D2"/>
    <w:rsid w:val="009B2C80"/>
    <w:rsid w:val="00A00EEA"/>
    <w:rsid w:val="00A27FD0"/>
    <w:rsid w:val="00A347BC"/>
    <w:rsid w:val="00A35DF1"/>
    <w:rsid w:val="00A71B43"/>
    <w:rsid w:val="00A72EB3"/>
    <w:rsid w:val="00AD5090"/>
    <w:rsid w:val="00B0141F"/>
    <w:rsid w:val="00B14DB9"/>
    <w:rsid w:val="00B4616D"/>
    <w:rsid w:val="00B53165"/>
    <w:rsid w:val="00B60536"/>
    <w:rsid w:val="00B90592"/>
    <w:rsid w:val="00BA657E"/>
    <w:rsid w:val="00BB6011"/>
    <w:rsid w:val="00BC642E"/>
    <w:rsid w:val="00BC6FE2"/>
    <w:rsid w:val="00C003C7"/>
    <w:rsid w:val="00C102F1"/>
    <w:rsid w:val="00C67419"/>
    <w:rsid w:val="00C80E37"/>
    <w:rsid w:val="00C849CA"/>
    <w:rsid w:val="00CC4D02"/>
    <w:rsid w:val="00CD6EC5"/>
    <w:rsid w:val="00D20C31"/>
    <w:rsid w:val="00D316E3"/>
    <w:rsid w:val="00D32493"/>
    <w:rsid w:val="00D34CE5"/>
    <w:rsid w:val="00D405FD"/>
    <w:rsid w:val="00D70111"/>
    <w:rsid w:val="00D70882"/>
    <w:rsid w:val="00D84B3B"/>
    <w:rsid w:val="00DA0DD7"/>
    <w:rsid w:val="00DB34D2"/>
    <w:rsid w:val="00DB544B"/>
    <w:rsid w:val="00DB73BB"/>
    <w:rsid w:val="00DC7A68"/>
    <w:rsid w:val="00DD1C3C"/>
    <w:rsid w:val="00DD6B38"/>
    <w:rsid w:val="00DF269A"/>
    <w:rsid w:val="00DF40DA"/>
    <w:rsid w:val="00E268DE"/>
    <w:rsid w:val="00E35FDA"/>
    <w:rsid w:val="00E76B96"/>
    <w:rsid w:val="00E825E6"/>
    <w:rsid w:val="00E91008"/>
    <w:rsid w:val="00E9693D"/>
    <w:rsid w:val="00ED5DD4"/>
    <w:rsid w:val="00ED6051"/>
    <w:rsid w:val="00EE39C7"/>
    <w:rsid w:val="00EF5F32"/>
    <w:rsid w:val="00F26EE8"/>
    <w:rsid w:val="00F33C88"/>
    <w:rsid w:val="00F36D71"/>
    <w:rsid w:val="00F72C9A"/>
    <w:rsid w:val="00F741AB"/>
    <w:rsid w:val="00F8384E"/>
    <w:rsid w:val="00FA69AE"/>
    <w:rsid w:val="00FB5550"/>
    <w:rsid w:val="00FD3600"/>
    <w:rsid w:val="00FD767E"/>
    <w:rsid w:val="00FE5781"/>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POST/DYS/OLD/GZ/03291/2024                        </dmsv2SWPP2ObjectNumber>
    <dmsv2SWPP2SumMD5 xmlns="http://schemas.microsoft.com/sharepoint/v3">36d3fa6e4b61b68dcd821dd85ae7f20b</dmsv2SWPP2SumMD5>
    <dmsv2BaseMoved xmlns="http://schemas.microsoft.com/sharepoint/v3">false</dmsv2BaseMoved>
    <dmsv2BaseIsSensitive xmlns="http://schemas.microsoft.com/sharepoint/v3">true</dmsv2BaseIsSensitive>
    <dmsv2SWPP2IDSWPP2 xmlns="http://schemas.microsoft.com/sharepoint/v3">662183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21045929</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AEASQFSYQUA4-848585078-13164</_dlc_DocId>
    <_dlc_DocIdUrl xmlns="a19cb1c7-c5c7-46d4-85ae-d83685407bba">
      <Url>https://swpp2.dms.gkpge.pl/sites/32/_layouts/15/DocIdRedir.aspx?ID=AEASQFSYQUA4-848585078-13164</Url>
      <Description>AEASQFSYQUA4-848585078-13164</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2F273E6-D425-4FBA-87C5-DC426C672E81}"/>
</file>

<file path=customXml/itemProps5.xml><?xml version="1.0" encoding="utf-8"?>
<ds:datastoreItem xmlns:ds="http://schemas.openxmlformats.org/officeDocument/2006/customXml" ds:itemID="{3205C74A-7497-442E-AE29-5E43D6D83CBF}">
  <ds:schemaRefs>
    <ds:schemaRef ds:uri="http://schemas.openxmlformats.org/officeDocument/2006/bibliography"/>
  </ds:schemaRefs>
</ds:datastoreItem>
</file>

<file path=customXml/itemProps6.xml><?xml version="1.0" encoding="utf-8"?>
<ds:datastoreItem xmlns:ds="http://schemas.openxmlformats.org/officeDocument/2006/customXml" ds:itemID="{7CFFE930-405E-4629-A70D-A9614F95CBEF}"/>
</file>

<file path=docProps/app.xml><?xml version="1.0" encoding="utf-8"?>
<Properties xmlns="http://schemas.openxmlformats.org/officeDocument/2006/extended-properties" xmlns:vt="http://schemas.openxmlformats.org/officeDocument/2006/docPropsVTypes">
  <Template>Normal.dotm</Template>
  <TotalTime>1268</TotalTime>
  <Pages>12</Pages>
  <Words>5004</Words>
  <Characters>30029</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POST/DYS/OLD/GZ/03291/2024</dc:subject>
  <dc:creator>Kurpiewska Katarzyna [PGE S.A.]</dc:creator>
  <cp:lastModifiedBy>Goc-Moszyńska Magdalena [PGE Dystr. O.Łódź]</cp:lastModifiedBy>
  <cp:revision>287</cp:revision>
  <cp:lastPrinted>2021-02-26T13:14:00Z</cp:lastPrinted>
  <dcterms:created xsi:type="dcterms:W3CDTF">2021-04-09T12:53:00Z</dcterms:created>
  <dcterms:modified xsi:type="dcterms:W3CDTF">2024-11-14T10:03:00Z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d8a48b77-1e20-49c5-9876-d02bb3d62aa5</vt:lpwstr>
  </property>
</Properties>
</file>