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9C8" w:rsidRPr="004139C8" w:rsidRDefault="00DB0ACF" w:rsidP="004139C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p>
    <w:p w:rsidR="00DB0ACF" w:rsidRPr="00CB3135" w:rsidRDefault="004139C8" w:rsidP="004139C8">
      <w:pPr>
        <w:keepNext/>
        <w:pBdr>
          <w:bottom w:val="dashSmallGap" w:sz="4" w:space="1" w:color="auto"/>
        </w:pBdr>
        <w:spacing w:line="240" w:lineRule="auto"/>
        <w:jc w:val="right"/>
        <w:rPr>
          <w:rFonts w:asciiTheme="minorHAnsi" w:hAnsiTheme="minorHAnsi" w:cs="Arial"/>
          <w:b/>
          <w:bCs/>
          <w:iCs/>
          <w:sz w:val="22"/>
          <w:szCs w:val="22"/>
        </w:rPr>
      </w:pPr>
      <w:r w:rsidRPr="004139C8">
        <w:rPr>
          <w:rFonts w:asciiTheme="minorHAnsi" w:hAnsiTheme="minorHAnsi" w:cs="Arial"/>
          <w:b/>
          <w:bCs/>
          <w:iCs/>
          <w:sz w:val="22"/>
          <w:szCs w:val="22"/>
        </w:rPr>
        <w:t>POST/DYS/OLD/GZ/03289/2024</w:t>
      </w:r>
      <w:bookmarkStart w:id="0" w:name="_GoBack"/>
      <w:bookmarkEnd w:id="0"/>
    </w:p>
    <w:p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D450C6" w:rsidRPr="00D450C6">
        <w:rPr>
          <w:rFonts w:asciiTheme="minorHAnsi" w:hAnsiTheme="minorHAnsi" w:cs="Arial"/>
          <w:bCs/>
          <w:i w:val="0"/>
          <w:color w:val="auto"/>
          <w:sz w:val="22"/>
          <w:szCs w:val="22"/>
          <w:lang w:val="pl-PL"/>
        </w:rPr>
        <w:t>RE Sieradz - obszar Lutomiersk, Dobroń, Aleksandrów Łódzki, Dłutów</w:t>
      </w:r>
      <w:r w:rsidR="00186033" w:rsidRPr="00186033">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xml:space="preserve"> dla wykonania dokumentacji projektowej przyłącza napowietrznego (tylko PT), </w:t>
      </w:r>
      <w:r w:rsidRPr="00CB3135">
        <w:lastRenderedPageBreak/>
        <w:t>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rsidTr="00CE681B">
        <w:trPr>
          <w:cantSplit/>
          <w:trHeight w:val="300"/>
          <w:jc w:val="center"/>
        </w:trPr>
        <w:tc>
          <w:tcPr>
            <w:tcW w:w="0" w:type="auto"/>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lastRenderedPageBreak/>
              <w:t>L.p.</w:t>
            </w:r>
          </w:p>
        </w:tc>
        <w:tc>
          <w:tcPr>
            <w:tcW w:w="8767" w:type="dxa"/>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rsidTr="00CE681B">
        <w:trPr>
          <w:cantSplit/>
          <w:trHeight w:val="300"/>
          <w:jc w:val="center"/>
        </w:trPr>
        <w:tc>
          <w:tcPr>
            <w:tcW w:w="0" w:type="auto"/>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rsidTr="00CE681B">
        <w:trPr>
          <w:cantSplit/>
          <w:trHeight w:val="355"/>
          <w:jc w:val="center"/>
        </w:trPr>
        <w:tc>
          <w:tcPr>
            <w:tcW w:w="0" w:type="auto"/>
            <w:vAlign w:val="center"/>
            <w:hideMark/>
          </w:tcPr>
          <w:p w:rsidR="00DC4005" w:rsidRPr="00CB3135" w:rsidRDefault="00DC4005" w:rsidP="00795E78">
            <w:pPr>
              <w:keepNext/>
              <w:jc w:val="center"/>
              <w:rPr>
                <w:rFonts w:ascii="Calibri" w:hAnsi="Calibri" w:cs="Calibri"/>
              </w:rPr>
            </w:pPr>
          </w:p>
        </w:tc>
        <w:tc>
          <w:tcPr>
            <w:tcW w:w="8767" w:type="dxa"/>
            <w:vAlign w:val="center"/>
            <w:hideMark/>
          </w:tcPr>
          <w:p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rsidR="00DC4005" w:rsidRPr="00CB3135" w:rsidRDefault="00DC4005" w:rsidP="00795E78">
            <w:pPr>
              <w:keepNext/>
              <w:jc w:val="center"/>
              <w:rPr>
                <w:rFonts w:ascii="Calibri" w:hAnsi="Calibri" w:cs="Calibri"/>
              </w:rPr>
            </w:pPr>
          </w:p>
        </w:tc>
      </w:tr>
      <w:tr w:rsidR="00201E48" w:rsidRPr="00CB3135" w:rsidTr="00201E48">
        <w:trPr>
          <w:cantSplit/>
          <w:trHeight w:val="1066"/>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Budowa przyłącza nN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84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nN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6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nN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w:t>
            </w:r>
            <w:r w:rsidR="00DC3C0B">
              <w:rPr>
                <w:rFonts w:asciiTheme="minorHAnsi" w:hAnsiTheme="minorHAnsi" w:cstheme="minorHAnsi"/>
                <w:color w:val="000000"/>
              </w:rPr>
              <w:t xml:space="preserve">                             </w:t>
            </w:r>
            <w:r w:rsidRPr="00DC3C0B">
              <w:rPr>
                <w:rFonts w:asciiTheme="minorHAnsi" w:hAnsiTheme="minorHAnsi" w:cstheme="minorHAnsi"/>
                <w:color w:val="000000"/>
              </w:rPr>
              <w:t xml:space="preserve"> Pozycja obejmuje obustronne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84"/>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obustronne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9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4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napowietrznego przewodem AsXSn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                                             Pozycja obejmuje wykonanie przyłącza od słupa do złącza, wprowadzenie i podłączenie przewodów oraz koszt zajęcia pasa drogowego</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powyżej 1 m liczonego wzdłuż trasy przyłącza – przewodem typu AsXSn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przewodu nN  liczona wg rzutu na mapie i mnożona przez skalę,  bez uwzględnienia trasy przewodów na budynku do złącza napowietrznego)</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13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lub podwieszenie linii napowietrznej wykonanej przewodem typu AsXSn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uśredniony koszt 1 metra linii wraz z uwzględnieniem niezbędnego osprzętu  i niezbędnych materiałów do wyprowadzenia przewodu ze skrzynki stacyjnej na linię napowietrzną nN</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18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ZK1 + ZP1 .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28"/>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ZK2 + ZP1 .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05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ZK2 + 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389"/>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 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285"/>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 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43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 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40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 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096"/>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44"/>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18"/>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827"/>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w:t>
            </w:r>
            <w:r w:rsidR="00DC3C0B" w:rsidRPr="00DC3C0B">
              <w:rPr>
                <w:rFonts w:asciiTheme="minorHAnsi" w:hAnsiTheme="minorHAnsi" w:cstheme="minorHAnsi"/>
                <w:color w:val="000000"/>
              </w:rPr>
              <w:t>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24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26</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pomiarowego. Pozycja obejmuje: koszt zakupu, dostawy na miejsce budowy, instalacji i podłączenia (wprowadzenie i podłączenie kabla zasilającego) kompletnej i wyposażonej szafki,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Złącze napowietrzne przyłączeniowe. Pozycja obejmuje: koszt zakupu, dostawy na miejsce budowy, instalacji i podłączenia (wprowadzenie i podłączenie kabla zasilającego) kompletnej i wyposażonej szafki,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858"/>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odkopania istniejącego kabla, zakupu i montażu muf/y przelotowych/wej/rozgałęźnej, budowy kabla YAKXS 4x35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odkopania istniejącego kabla, zakupu i montażu muf/y przelotowych/wej/rozgałęźnej, budowy kabla YAKXS 4x120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odkopania istniejącego kabla, zakupu i montażu muf/y przelotowych/wej/rozgałęźnej, budowy kabla YAKXS 4x240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ŻN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34</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10,5/2,5 do E 10,5/6 lub od  E 12/2,5 do E 12/6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10,5/10 do E 10,5/15 lub od E 12/10 do E 12/15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podstaw bezpiecznikowych typu PBD-1 250A lub PBD-2 400A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typu OZK 630 wraz z oszynowaniem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listwowego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1262"/>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listwowego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42</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Montaż zacisków typu 2 zgv w istniejących polach odpływowych w złączu kablowym – 3 szt.</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43</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przewodów łączących zaciski wtórne transformatora z rozdzielnią nN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kondensatora nN na transformatorze 15/0,4 kV Pozycja obejmuje:  demontaż i montaż nowego lub montaż nowego kondensatora 3-fazowego na transformatorze 15/0,4 kV wraz z oprzewodowaniem. Kondensator o pojemności dobranej do mocy transformatora z zakresu od 63 kVA do 630 kVA zgodnie z dokumentacją projektową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przekładników prądowych w istniejącej szafce stacyjnej nN                                                                                                              Pozycja obejmuje:  demontaż i montaż nowych przekładników prądowych wraz z oprzewodowaniem. Przekładniki prądowe  dobrane do mocy transformatora z zakresu od 63 kVA do 630 kVA zgodnie z dokumentacją projektową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tcPr>
          <w:p w:rsidR="00DC3C0B" w:rsidRPr="00CB3135" w:rsidRDefault="00DC3C0B" w:rsidP="00DC3C0B">
            <w:pPr>
              <w:keepNext/>
              <w:rPr>
                <w:rFonts w:asciiTheme="minorHAnsi" w:hAnsiTheme="minorHAnsi" w:cs="Calibri"/>
              </w:rPr>
            </w:pPr>
            <w:r w:rsidRPr="00CB3135">
              <w:rPr>
                <w:rFonts w:asciiTheme="minorHAnsi" w:hAnsiTheme="minorHAnsi" w:cs="Calibri"/>
              </w:rPr>
              <w:t xml:space="preserve"> 51</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110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75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kompletu ograniczników przepięć na linii napowietrznej nN                                                                                                            Pozycja obejmuje koszt montażu wraz z podłączeniem do przewodów roboczych i uziomu słupa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56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≤30Ω)                          Pozycja obejmuje koszt wykonania uziemienia wraz z wykonaniem pomiarów potwierdzonych protokołem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397"/>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58</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≤10Ω)                            Pozycja obejmuje koszt wykonania uziemienia wraz z wykonaniem pomiarów potwierdzonych protokołem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59</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przyłącza lub linii napowietrznej nN (długość przyłącza lub linii liczona wg rzutu na mapie i mnożona przez skalę)</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słupa linii napowietrznej nN</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złącza kablowego/kablowo-pomiarowego nN</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62</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63</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64</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Przewiert sterowany </w:t>
            </w:r>
            <w:r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65</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66</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67</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rsidR="00795E78" w:rsidRPr="00CB3135" w:rsidRDefault="00795E78" w:rsidP="00795E78">
      <w:pPr>
        <w:keepNext/>
        <w:ind w:left="340" w:hanging="340"/>
        <w:rPr>
          <w:rFonts w:asciiTheme="minorHAnsi" w:hAnsiTheme="minorHAnsi" w:cs="Arial"/>
          <w:b/>
          <w:sz w:val="22"/>
          <w:szCs w:val="22"/>
          <w:u w:val="single"/>
        </w:rPr>
      </w:pPr>
      <w:r w:rsidRPr="00CB3135">
        <w:rPr>
          <w:rFonts w:asciiTheme="minorHAnsi" w:hAnsiTheme="minorHAnsi" w:cs="Arial"/>
          <w:b/>
          <w:sz w:val="22"/>
          <w:szCs w:val="22"/>
          <w:u w:val="single"/>
        </w:rPr>
        <w:t>Informacje dodatkowe:</w:t>
      </w:r>
    </w:p>
    <w:p w:rsidR="00795E78" w:rsidRPr="00CB3135" w:rsidRDefault="00795E78" w:rsidP="00795E78">
      <w:pPr>
        <w:pStyle w:val="Akapitzlist"/>
        <w:keepNext/>
        <w:numPr>
          <w:ilvl w:val="0"/>
          <w:numId w:val="33"/>
        </w:numPr>
        <w:rPr>
          <w:rFonts w:asciiTheme="minorHAnsi" w:hAnsiTheme="minorHAnsi" w:cs="Arial"/>
          <w:sz w:val="22"/>
          <w:szCs w:val="22"/>
        </w:rPr>
      </w:pPr>
      <w:r w:rsidRPr="00CB3135">
        <w:rPr>
          <w:rFonts w:asciiTheme="minorHAnsi" w:hAnsiTheme="minorHAnsi" w:cs="Arial"/>
          <w:sz w:val="22"/>
          <w:szCs w:val="22"/>
        </w:rPr>
        <w:t xml:space="preserve">W przypadku realizacji budowy składającej się z kilku wyjść ze złączy lub kilku zejść kablowych </w:t>
      </w:r>
      <w:r w:rsidRPr="00CB3135">
        <w:rPr>
          <w:rFonts w:asciiTheme="minorHAnsi" w:hAnsiTheme="minorHAnsi" w:cs="Arial"/>
          <w:sz w:val="22"/>
          <w:szCs w:val="22"/>
        </w:rPr>
        <w:br/>
        <w:t>ze słupów w rozliczeniu końcowym robót pozycja 1 ,2, 4, 5, 7 będą liczone jeden raz.</w:t>
      </w:r>
    </w:p>
    <w:p w:rsidR="007223F2" w:rsidRPr="00CB3135" w:rsidRDefault="00795E78" w:rsidP="00795E78">
      <w:pPr>
        <w:pStyle w:val="Akapitzlist"/>
        <w:keepNext/>
        <w:numPr>
          <w:ilvl w:val="0"/>
          <w:numId w:val="33"/>
        </w:numPr>
        <w:rPr>
          <w:rFonts w:asciiTheme="minorHAnsi" w:hAnsiTheme="minorHAnsi" w:cs="Arial"/>
          <w:sz w:val="22"/>
          <w:szCs w:val="22"/>
        </w:rPr>
      </w:pPr>
      <w:r w:rsidRPr="00CB3135">
        <w:rPr>
          <w:rFonts w:asciiTheme="minorHAnsi" w:hAnsiTheme="minorHAnsi" w:cs="Arial"/>
          <w:sz w:val="22"/>
          <w:szCs w:val="22"/>
        </w:rPr>
        <w:t>W przypadku konieczności ułożenia drugiego toru przyłącza/linii we wspólnym wykopie przyjmuje się współczynnik korekcyjny 0,5 dla wartości przyłącza/linii za metr.</w:t>
      </w:r>
    </w:p>
    <w:p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lastRenderedPageBreak/>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Oświadczenia projektanta o zgodności dokumentacji projektowej z aktualnie obowiązującymi przepisami.</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lastRenderedPageBreak/>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r w:rsidRPr="00CB3135">
        <w:rPr>
          <w:rFonts w:asciiTheme="minorHAnsi" w:hAnsiTheme="minorHAnsi"/>
          <w:szCs w:val="22"/>
        </w:rPr>
        <w:t>kV.</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t>
      </w:r>
      <w:r w:rsidRPr="00CB3135">
        <w:rPr>
          <w:rFonts w:asciiTheme="minorHAnsi" w:hAnsiTheme="minorHAnsi"/>
          <w:szCs w:val="22"/>
        </w:rPr>
        <w:lastRenderedPageBreak/>
        <w:t>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2"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CB3135">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Ogólne wymagania związane z budową elektroenergetycznych przyłączy kablowych niskiego napięcia: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r w:rsidRPr="00CB3135">
        <w:rPr>
          <w:rFonts w:asciiTheme="minorHAnsi" w:hAnsiTheme="minorHAnsi"/>
          <w:szCs w:val="22"/>
        </w:rPr>
        <w:t>kV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r w:rsidRPr="00CB3135">
        <w:rPr>
          <w:rFonts w:asciiTheme="minorHAnsi" w:hAnsiTheme="minorHAnsi"/>
          <w:szCs w:val="22"/>
        </w:rPr>
        <w:t>kV.</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wykonanie wytyczenia geodezyjnego trasy przyłącza i jego </w:t>
      </w:r>
      <w:r w:rsidRPr="00CB3135">
        <w:rPr>
          <w:rFonts w:asciiTheme="minorHAnsi" w:hAnsiTheme="minorHAnsi"/>
          <w:szCs w:val="22"/>
        </w:rPr>
        <w:lastRenderedPageBreak/>
        <w:t>inwentaryzację.</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 xml:space="preserve">Prace budowlano-montażowe Wykonawca wykonuje w oparciu o dokumentację projektową, rozpoczynając prace nie wcześniej niż w terminie wyznaczonym przez Zamawiającego. Termin wyznaczony przez Zamawiającego na przystąpienie do prac nie </w:t>
      </w:r>
      <w:r w:rsidRPr="004E20BC">
        <w:rPr>
          <w:rFonts w:asciiTheme="minorHAnsi" w:hAnsiTheme="minorHAnsi"/>
          <w:szCs w:val="22"/>
        </w:rPr>
        <w:lastRenderedPageBreak/>
        <w:t>może być dłuższy niż 6 miesięcy.</w:t>
      </w:r>
    </w:p>
    <w:p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odbywa się techniką prac pod napięciem (posiadanie odpowiednich uprawnień jest warunkiem koniecznym).</w:t>
      </w:r>
    </w:p>
    <w:p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0,4 kV</w:t>
      </w:r>
      <w:r w:rsidR="00052407" w:rsidRPr="00CB3135">
        <w:rPr>
          <w:rFonts w:asciiTheme="minorHAnsi" w:hAnsiTheme="minorHAnsi"/>
          <w:szCs w:val="22"/>
          <w:lang w:val="pl-PL"/>
        </w:rPr>
        <w:t>.</w:t>
      </w:r>
      <w:r w:rsidR="00CD36EE"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w:t>
      </w:r>
      <w:r w:rsidR="00751F0F" w:rsidRPr="00CB3135">
        <w:rPr>
          <w:rFonts w:asciiTheme="minorHAnsi" w:hAnsiTheme="minorHAnsi"/>
          <w:szCs w:val="22"/>
        </w:rPr>
        <w:lastRenderedPageBreak/>
        <w:t>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rsidR="008F1952" w:rsidRPr="00CB3135" w:rsidRDefault="008F1952" w:rsidP="00795E78">
      <w:pPr>
        <w:keepNext/>
        <w:spacing w:before="60" w:after="60" w:line="276" w:lineRule="auto"/>
        <w:ind w:left="720"/>
        <w:rPr>
          <w:rFonts w:asciiTheme="minorHAnsi" w:hAnsiTheme="minorHAnsi" w:cs="Calibri"/>
          <w:sz w:val="22"/>
          <w:szCs w:val="22"/>
        </w:rPr>
      </w:pPr>
    </w:p>
    <w:p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lastRenderedPageBreak/>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008A2F0D" w:rsidRPr="00CB3135">
        <w:rPr>
          <w:rFonts w:asciiTheme="minorHAnsi" w:hAnsiTheme="minorHAnsi"/>
          <w:color w:val="auto"/>
          <w:szCs w:val="22"/>
        </w:rPr>
        <w:t>ompletną</w:t>
      </w:r>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ację prawno</w:t>
      </w:r>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rsidR="00023F55" w:rsidRPr="00CB3135" w:rsidRDefault="00023F55" w:rsidP="00023F55">
      <w:pPr>
        <w:rPr>
          <w:lang w:eastAsia="x-none"/>
        </w:rPr>
      </w:pPr>
    </w:p>
    <w:p w:rsidR="00023F55" w:rsidRPr="00CB3135" w:rsidRDefault="00023F55" w:rsidP="00023F55">
      <w:pPr>
        <w:rPr>
          <w:lang w:eastAsia="x-none"/>
        </w:rPr>
      </w:pPr>
    </w:p>
    <w:p w:rsidR="00023F55" w:rsidRDefault="00023F5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Pr="00CB3135" w:rsidRDefault="00CB3135" w:rsidP="00023F55">
      <w:pPr>
        <w:rPr>
          <w:lang w:eastAsia="x-none"/>
        </w:rPr>
      </w:pPr>
    </w:p>
    <w:p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AA4DFC">
      <w:footerReference w:type="default" r:id="rId15"/>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AA3" w:rsidRDefault="004E5AA3" w:rsidP="009629B1">
      <w:pPr>
        <w:spacing w:line="240" w:lineRule="auto"/>
      </w:pPr>
      <w:r>
        <w:separator/>
      </w:r>
    </w:p>
  </w:endnote>
  <w:endnote w:type="continuationSeparator" w:id="0">
    <w:p w:rsidR="004E5AA3" w:rsidRDefault="004E5AA3"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53290"/>
      <w:docPartObj>
        <w:docPartGallery w:val="Page Numbers (Bottom of Page)"/>
        <w:docPartUnique/>
      </w:docPartObj>
    </w:sdtPr>
    <w:sdtEndPr>
      <w:rPr>
        <w:color w:val="808080" w:themeColor="background1" w:themeShade="80"/>
        <w:spacing w:val="60"/>
      </w:rPr>
    </w:sdtEndPr>
    <w:sdtContent>
      <w:p w:rsidR="00201E48" w:rsidRDefault="00201E48">
        <w:pPr>
          <w:pStyle w:val="Stopka"/>
          <w:pBdr>
            <w:top w:val="single" w:sz="4" w:space="1" w:color="D9D9D9" w:themeColor="background1" w:themeShade="D9"/>
          </w:pBdr>
          <w:jc w:val="right"/>
        </w:pPr>
        <w:r>
          <w:fldChar w:fldCharType="begin"/>
        </w:r>
        <w:r>
          <w:instrText>PAGE   \* MERGEFORMAT</w:instrText>
        </w:r>
        <w:r>
          <w:fldChar w:fldCharType="separate"/>
        </w:r>
        <w:r w:rsidR="004139C8">
          <w:rPr>
            <w:noProof/>
          </w:rPr>
          <w:t>1</w:t>
        </w:r>
        <w:r>
          <w:fldChar w:fldCharType="end"/>
        </w:r>
        <w:r>
          <w:t xml:space="preserve"> | </w:t>
        </w:r>
        <w:r>
          <w:rPr>
            <w:color w:val="808080" w:themeColor="background1" w:themeShade="80"/>
            <w:spacing w:val="60"/>
          </w:rPr>
          <w:t>Strona</w:t>
        </w:r>
      </w:p>
    </w:sdtContent>
  </w:sdt>
  <w:p w:rsidR="00201E48" w:rsidRPr="003165D0" w:rsidRDefault="00201E48">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AA3" w:rsidRDefault="004E5AA3" w:rsidP="009629B1">
      <w:pPr>
        <w:spacing w:line="240" w:lineRule="auto"/>
      </w:pPr>
      <w:r>
        <w:separator/>
      </w:r>
    </w:p>
  </w:footnote>
  <w:footnote w:type="continuationSeparator" w:id="0">
    <w:p w:rsidR="004E5AA3" w:rsidRDefault="004E5AA3" w:rsidP="009629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8"/>
  </w:num>
  <w:num w:numId="3">
    <w:abstractNumId w:val="22"/>
  </w:num>
  <w:num w:numId="4">
    <w:abstractNumId w:val="21"/>
  </w:num>
  <w:num w:numId="5">
    <w:abstractNumId w:val="18"/>
  </w:num>
  <w:num w:numId="6">
    <w:abstractNumId w:val="3"/>
  </w:num>
  <w:num w:numId="7">
    <w:abstractNumId w:val="7"/>
  </w:num>
  <w:num w:numId="8">
    <w:abstractNumId w:val="12"/>
  </w:num>
  <w:num w:numId="9">
    <w:abstractNumId w:val="29"/>
  </w:num>
  <w:num w:numId="10">
    <w:abstractNumId w:val="17"/>
  </w:num>
  <w:num w:numId="11">
    <w:abstractNumId w:val="6"/>
  </w:num>
  <w:num w:numId="12">
    <w:abstractNumId w:val="27"/>
  </w:num>
  <w:num w:numId="13">
    <w:abstractNumId w:val="2"/>
  </w:num>
  <w:num w:numId="14">
    <w:abstractNumId w:val="19"/>
  </w:num>
  <w:num w:numId="15">
    <w:abstractNumId w:val="24"/>
  </w:num>
  <w:num w:numId="16">
    <w:abstractNumId w:val="14"/>
  </w:num>
  <w:num w:numId="17">
    <w:abstractNumId w:val="0"/>
  </w:num>
  <w:num w:numId="18">
    <w:abstractNumId w:val="15"/>
  </w:num>
  <w:num w:numId="19">
    <w:abstractNumId w:val="3"/>
  </w:num>
  <w:num w:numId="20">
    <w:abstractNumId w:val="3"/>
  </w:num>
  <w:num w:numId="21">
    <w:abstractNumId w:val="3"/>
  </w:num>
  <w:num w:numId="22">
    <w:abstractNumId w:val="3"/>
  </w:num>
  <w:num w:numId="23">
    <w:abstractNumId w:val="3"/>
  </w:num>
  <w:num w:numId="24">
    <w:abstractNumId w:val="3"/>
  </w:num>
  <w:num w:numId="25">
    <w:abstractNumId w:val="15"/>
  </w:num>
  <w:num w:numId="26">
    <w:abstractNumId w:val="1"/>
  </w:num>
  <w:num w:numId="27">
    <w:abstractNumId w:val="8"/>
  </w:num>
  <w:num w:numId="28">
    <w:abstractNumId w:val="20"/>
  </w:num>
  <w:num w:numId="29">
    <w:abstractNumId w:val="13"/>
  </w:num>
  <w:num w:numId="30">
    <w:abstractNumId w:val="21"/>
  </w:num>
  <w:num w:numId="31">
    <w:abstractNumId w:val="25"/>
  </w:num>
  <w:num w:numId="32">
    <w:abstractNumId w:val="9"/>
  </w:num>
  <w:num w:numId="33">
    <w:abstractNumId w:val="10"/>
  </w:num>
  <w:num w:numId="34">
    <w:abstractNumId w:val="4"/>
  </w:num>
  <w:num w:numId="35">
    <w:abstractNumId w:val="5"/>
  </w:num>
  <w:num w:numId="36">
    <w:abstractNumId w:val="16"/>
  </w:num>
  <w:num w:numId="37">
    <w:abstractNumId w:val="30"/>
  </w:num>
  <w:num w:numId="38">
    <w:abstractNumId w:val="26"/>
  </w:num>
  <w:num w:numId="3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3863"/>
    <w:rsid w:val="0018603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65A9"/>
    <w:rsid w:val="00236A9A"/>
    <w:rsid w:val="0024622A"/>
    <w:rsid w:val="00252D10"/>
    <w:rsid w:val="00256A66"/>
    <w:rsid w:val="0028519E"/>
    <w:rsid w:val="00285552"/>
    <w:rsid w:val="00290CC1"/>
    <w:rsid w:val="0029517C"/>
    <w:rsid w:val="00297C63"/>
    <w:rsid w:val="002A1BF4"/>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39C8"/>
    <w:rsid w:val="004167AC"/>
    <w:rsid w:val="0042121A"/>
    <w:rsid w:val="004248B0"/>
    <w:rsid w:val="00430FA9"/>
    <w:rsid w:val="004347FF"/>
    <w:rsid w:val="00436152"/>
    <w:rsid w:val="0045719D"/>
    <w:rsid w:val="004600D8"/>
    <w:rsid w:val="00464BC8"/>
    <w:rsid w:val="004659DF"/>
    <w:rsid w:val="004665DC"/>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E5437"/>
    <w:rsid w:val="004E5AA3"/>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10CC5"/>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4676"/>
    <w:rsid w:val="0093408C"/>
    <w:rsid w:val="00942E60"/>
    <w:rsid w:val="009629B1"/>
    <w:rsid w:val="009739D9"/>
    <w:rsid w:val="00977DDA"/>
    <w:rsid w:val="0098050D"/>
    <w:rsid w:val="009916D9"/>
    <w:rsid w:val="009973C3"/>
    <w:rsid w:val="009A0520"/>
    <w:rsid w:val="009A1EC0"/>
    <w:rsid w:val="009A228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52FC"/>
    <w:rsid w:val="00A2192C"/>
    <w:rsid w:val="00A21F42"/>
    <w:rsid w:val="00A2276F"/>
    <w:rsid w:val="00A35AA2"/>
    <w:rsid w:val="00A430B4"/>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D106A"/>
    <w:rsid w:val="00BD2E72"/>
    <w:rsid w:val="00BE0D88"/>
    <w:rsid w:val="00BF0FFF"/>
    <w:rsid w:val="00BF2DC3"/>
    <w:rsid w:val="00C03BC0"/>
    <w:rsid w:val="00C03CE9"/>
    <w:rsid w:val="00C15B55"/>
    <w:rsid w:val="00C211E1"/>
    <w:rsid w:val="00C21437"/>
    <w:rsid w:val="00C23A6A"/>
    <w:rsid w:val="00C24067"/>
    <w:rsid w:val="00C261B3"/>
    <w:rsid w:val="00C41463"/>
    <w:rsid w:val="00C45219"/>
    <w:rsid w:val="00C45323"/>
    <w:rsid w:val="00C46167"/>
    <w:rsid w:val="00C50AA0"/>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13B0A"/>
    <w:rsid w:val="00D16397"/>
    <w:rsid w:val="00D22E69"/>
    <w:rsid w:val="00D3427A"/>
    <w:rsid w:val="00D4256D"/>
    <w:rsid w:val="00D450C6"/>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dla-klienta/przydatne-dokumen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01-06 NOWE 2024n (2).docx</dmsv2BaseFileName>
    <dmsv2BaseDisplayName xmlns="http://schemas.microsoft.com/sharepoint/v3">Załącznik nr 1.1 do SWZ RE 01-06 NOWE 2024n (2)</dmsv2BaseDisplayName>
    <dmsv2SWPP2ObjectNumber xmlns="http://schemas.microsoft.com/sharepoint/v3">POST/DYS/OLD/GZ/03289/2024                        </dmsv2SWPP2ObjectNumber>
    <dmsv2SWPP2SumMD5 xmlns="http://schemas.microsoft.com/sharepoint/v3">69ab95258bacd9a6abc31f25409314d5</dmsv2SWPP2SumMD5>
    <dmsv2BaseMoved xmlns="http://schemas.microsoft.com/sharepoint/v3">false</dmsv2BaseMoved>
    <dmsv2BaseIsSensitive xmlns="http://schemas.microsoft.com/sharepoint/v3">true</dmsv2BaseIsSensitive>
    <dmsv2SWPP2IDSWPP2 xmlns="http://schemas.microsoft.com/sharepoint/v3">662181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21034253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AEASQFSYQUA4-848585078-10678</_dlc_DocId>
    <_dlc_DocIdUrl xmlns="a19cb1c7-c5c7-46d4-85ae-d83685407bba">
      <Url>https://swpp2.dms.gkpge.pl/sites/32/_layouts/15/DocIdRedir.aspx?ID=AEASQFSYQUA4-848585078-10678</Url>
      <Description>AEASQFSYQUA4-848585078-10678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958786E-5673-4979-8249-2FCEB0A9BCEA}">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3E832999-048C-42FC-8DAC-4FC3430864A4}">
  <ds:schemaRefs>
    <ds:schemaRef ds:uri="http://schemas.microsoft.com/sharepoint/v3/contenttype/forms"/>
  </ds:schemaRefs>
</ds:datastoreItem>
</file>

<file path=customXml/itemProps3.xml><?xml version="1.0" encoding="utf-8"?>
<ds:datastoreItem xmlns:ds="http://schemas.openxmlformats.org/officeDocument/2006/customXml" ds:itemID="{A5AA2998-508C-4A87-A4F5-DE542AAD6C20}">
  <ds:schemaRefs>
    <ds:schemaRef ds:uri="http://schemas.microsoft.com/sharepoint/events"/>
  </ds:schemaRefs>
</ds:datastoreItem>
</file>

<file path=customXml/itemProps4.xml><?xml version="1.0" encoding="utf-8"?>
<ds:datastoreItem xmlns:ds="http://schemas.openxmlformats.org/officeDocument/2006/customXml" ds:itemID="{82C91E7B-BD99-451A-ACCA-6E0DCF14AB9F}"/>
</file>

<file path=customXml/itemProps5.xml><?xml version="1.0" encoding="utf-8"?>
<ds:datastoreItem xmlns:ds="http://schemas.openxmlformats.org/officeDocument/2006/customXml" ds:itemID="{CF0CA102-E90C-4BE5-B8CC-1E8A01D7C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19</Pages>
  <Words>8445</Words>
  <Characters>50675</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59002</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Kaczorowska-Jakubowska Izabela [PGE Dystr. O.Łódź]</cp:lastModifiedBy>
  <cp:revision>163</cp:revision>
  <cp:lastPrinted>2015-10-08T11:55:00Z</cp:lastPrinted>
  <dcterms:created xsi:type="dcterms:W3CDTF">2015-10-19T08:37:00Z</dcterms:created>
  <dcterms:modified xsi:type="dcterms:W3CDTF">2024-11-13T11:21:00Z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4af94eea-f44b-4a8e-9a39-cd76b5d28d16</vt:lpwstr>
  </property>
</Properties>
</file>