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62E22051"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97044C">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0F62FEDD"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r w:rsidR="0097044C">
        <w:rPr>
          <w:rFonts w:asciiTheme="minorHAnsi" w:hAnsiTheme="minorHAnsi" w:cstheme="minorHAnsi"/>
          <w:b/>
          <w:sz w:val="20"/>
        </w:rPr>
        <w:t>.</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97044C"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b/>
          <w:sz w:val="20"/>
          <w:u w:val="single"/>
        </w:rPr>
      </w:pPr>
      <w:bookmarkStart w:id="2" w:name="_GoBack"/>
      <w:bookmarkEnd w:id="2"/>
      <w:r w:rsidRPr="0097044C">
        <w:rPr>
          <w:rFonts w:asciiTheme="minorHAnsi" w:hAnsiTheme="minorHAnsi" w:cstheme="minorHAnsi"/>
          <w:b/>
          <w:sz w:val="20"/>
          <w:u w:val="single"/>
        </w:rPr>
        <w:t xml:space="preserve">Potwierdzenie wniesienia wadium dołączone do oferty </w:t>
      </w:r>
      <w:r w:rsidRPr="0097044C">
        <w:rPr>
          <w:rFonts w:asciiTheme="minorHAnsi" w:eastAsia="Calibri" w:hAnsiTheme="minorHAnsi" w:cstheme="minorHAnsi"/>
          <w:b/>
          <w:sz w:val="20"/>
          <w:u w:val="single"/>
        </w:rPr>
        <w:t>powyżej.</w:t>
      </w:r>
    </w:p>
    <w:p w14:paraId="2EECA00F" w14:textId="24F4A50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F17348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CD496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7044C">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7044C">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A397FF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7044C">
          <w:rPr>
            <w:rFonts w:asciiTheme="minorHAnsi" w:hAnsiTheme="minorHAnsi" w:cstheme="minorHAnsi"/>
            <w:sz w:val="18"/>
            <w:szCs w:val="18"/>
          </w:rPr>
          <w:t>POST/DYS/OLD/GZ/03288/2024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5DB8EA73"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97044C" w:rsidRPr="0097044C">
          <w:rPr>
            <w:rFonts w:ascii="Arial" w:hAnsi="Arial" w:cs="Arial"/>
            <w:b/>
            <w:bCs/>
            <w:color w:val="000000"/>
            <w:sz w:val="18"/>
            <w:szCs w:val="18"/>
            <w:shd w:val="clear" w:color="auto" w:fill="FDFDFD"/>
          </w:rPr>
          <w:t>POST/DYS/OLD/GZ/03288/2024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10A"/>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44C"/>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704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2.docx</dmsv2BaseFileName>
    <dmsv2BaseDisplayName xmlns="http://schemas.microsoft.com/sharepoint/v3">Załącznik nr 2</dmsv2BaseDisplayName>
    <dmsv2SWPP2ObjectNumber xmlns="http://schemas.microsoft.com/sharepoint/v3">POST/DYS/OLD/GZ/03288/2024                        </dmsv2SWPP2ObjectNumber>
    <dmsv2SWPP2SumMD5 xmlns="http://schemas.microsoft.com/sharepoint/v3">b0919c677946dde4ee8f2636c5df9879</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21032941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AEASQFSYQUA4-848585078-5423</_dlc_DocId>
    <_dlc_DocIdUrl xmlns="a19cb1c7-c5c7-46d4-85ae-d83685407bba">
      <Url>https://swpp2.dms.gkpge.pl/sites/32/_layouts/15/DocIdRedir.aspx?ID=AEASQFSYQUA4-848585078-5423</Url>
      <Description>AEASQFSYQUA4-848585078-5423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FD369C4-FDE7-43AB-9EC9-3FA762FB1A1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C8D8616-25B5-4777-9C5E-BD5421FA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3682</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POST/DYS/OLD/GZ/03288/2024</dc:subject>
  <dc:creator>Kurpiewska Katarzyna [PGE S.A.]</dc:creator>
  <cp:lastModifiedBy>Galińska-Mostowa Agnieszka [PGE Dystr. O.Łódź]</cp:lastModifiedBy>
  <cp:revision>25</cp:revision>
  <cp:lastPrinted>2021-08-10T08:10:00Z</cp:lastPrinted>
  <dcterms:created xsi:type="dcterms:W3CDTF">2022-04-28T07:16:00Z</dcterms:created>
  <dcterms:modified xsi:type="dcterms:W3CDTF">2024-11-13T10:49:00Z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7e41c0d9-b632-4d45-ad77-82410d9b820c</vt:lpwstr>
  </property>
</Properties>
</file>