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F" w:rsidRPr="00BF52B9" w:rsidRDefault="00CC602F" w:rsidP="00CC602F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BF52B9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:rsidR="00CC602F" w:rsidRPr="00BF52B9" w:rsidRDefault="00CC602F" w:rsidP="00CC602F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  <w:t>w miarę występujących potrzeb</w:t>
      </w:r>
      <w:r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uszczegóławiające na wykonanie poszczególnych przyłączy lub linii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>
        <w:rPr>
          <w:rFonts w:asciiTheme="minorHAnsi" w:hAnsiTheme="minorHAnsi" w:cs="Arial"/>
          <w:sz w:val="22"/>
          <w:szCs w:val="22"/>
        </w:rPr>
        <w:t>końca umowy tj. 12 miesięcy od daty podpisania umowy</w:t>
      </w:r>
      <w:r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:rsidR="00CC602F" w:rsidRPr="00BF52B9" w:rsidRDefault="00CC602F" w:rsidP="00CC602F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</w:t>
      </w:r>
      <w:r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>
        <w:rPr>
          <w:rFonts w:asciiTheme="minorHAnsi" w:hAnsiTheme="minorHAnsi" w:cs="Arial"/>
          <w:sz w:val="22"/>
          <w:szCs w:val="22"/>
        </w:rPr>
        <w:t>26</w:t>
      </w:r>
      <w:r w:rsidRPr="00A455E6">
        <w:rPr>
          <w:rFonts w:asciiTheme="minorHAnsi" w:hAnsiTheme="minorHAnsi" w:cs="Arial"/>
          <w:sz w:val="22"/>
          <w:szCs w:val="22"/>
        </w:rPr>
        <w:t>0 dni</w:t>
      </w:r>
      <w:r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Pr="00237737">
        <w:rPr>
          <w:rFonts w:asciiTheme="minorHAnsi" w:hAnsiTheme="minorHAnsi" w:cs="Arial"/>
          <w:sz w:val="22"/>
          <w:szCs w:val="22"/>
        </w:rPr>
        <w:t>45 dni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</w:t>
      </w:r>
      <w:r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1.1 oraz </w:t>
      </w:r>
      <w:r>
        <w:rPr>
          <w:rFonts w:asciiTheme="minorHAnsi" w:hAnsiTheme="minorHAnsi" w:cs="Arial"/>
          <w:b w:val="0"/>
          <w:sz w:val="22"/>
          <w:szCs w:val="22"/>
        </w:rPr>
        <w:br/>
        <w:t xml:space="preserve">w załączniku nr 5 (umowa) do SWZ. </w:t>
      </w:r>
    </w:p>
    <w:p w:rsidR="00CC602F" w:rsidRPr="00F25081" w:rsidRDefault="00CC602F" w:rsidP="00CC602F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:rsidR="00CC602F" w:rsidRPr="00CE65F5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Rejonu Energetycznego </w:t>
      </w:r>
      <w:r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Pr="00553691">
        <w:rPr>
          <w:rFonts w:asciiTheme="minorHAnsi" w:eastAsia="Calibri" w:hAnsiTheme="minorHAnsi" w:cstheme="minorHAnsi"/>
          <w:sz w:val="22"/>
          <w:szCs w:val="22"/>
        </w:rPr>
        <w:t>Miasto Głowno, Gmina Głowno, Gmina Bielawy, Gmina Domaniewice, Gmina Dmosin, Gmina Brzeziny</w:t>
      </w:r>
      <w:r w:rsidRPr="00CE65F5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CC602F" w:rsidRPr="00695B83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CC602F" w:rsidRPr="0092634A" w:rsidRDefault="00CC602F" w:rsidP="00CC602F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CC602F" w:rsidRPr="002C0E5D" w:rsidRDefault="00CC602F" w:rsidP="00CC602F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CC602F" w:rsidRPr="00A455E6" w:rsidRDefault="00CC602F" w:rsidP="00CC602F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>
        <w:rPr>
          <w:rFonts w:asciiTheme="minorHAnsi" w:hAnsiTheme="minorHAnsi" w:cs="Arial"/>
          <w:sz w:val="22"/>
        </w:rPr>
        <w:t>umowy stanowiącej załącznik nr 5 do S</w:t>
      </w:r>
      <w:r w:rsidRPr="00A455E6">
        <w:rPr>
          <w:rFonts w:asciiTheme="minorHAnsi" w:hAnsiTheme="minorHAnsi" w:cs="Arial"/>
          <w:sz w:val="22"/>
        </w:rPr>
        <w:t>WZ.</w:t>
      </w:r>
    </w:p>
    <w:p w:rsidR="00CC602F" w:rsidRPr="00BF52B9" w:rsidRDefault="00CC602F" w:rsidP="00CC602F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CC602F" w:rsidRPr="002C0E5D" w:rsidRDefault="00CC602F" w:rsidP="00CC602F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CC602F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CC602F" w:rsidRPr="00072448" w:rsidTr="00664D81">
        <w:trPr>
          <w:trHeight w:val="418"/>
        </w:trPr>
        <w:tc>
          <w:tcPr>
            <w:tcW w:w="524" w:type="dxa"/>
            <w:vAlign w:val="center"/>
          </w:tcPr>
          <w:p w:rsidR="00CC602F" w:rsidRPr="0090586E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:rsidR="00CC602F" w:rsidRPr="0090586E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CC602F" w:rsidRPr="00FD2C6A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CC602F" w:rsidRPr="00FD2C6A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CC602F" w:rsidRPr="00FD2C6A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CC602F" w:rsidRPr="00FD2C6A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CC602F" w:rsidRPr="00FD2C6A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CC602F" w:rsidRPr="00072448" w:rsidTr="00664D81">
        <w:trPr>
          <w:trHeight w:val="410"/>
        </w:trPr>
        <w:tc>
          <w:tcPr>
            <w:tcW w:w="524" w:type="dxa"/>
            <w:vAlign w:val="center"/>
          </w:tcPr>
          <w:p w:rsidR="00CC602F" w:rsidRPr="005B361D" w:rsidRDefault="00CC602F" w:rsidP="00664D81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:rsidR="00CC602F" w:rsidRPr="00DB3A44" w:rsidRDefault="00CC602F" w:rsidP="00664D81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CC602F" w:rsidRPr="00463BC2" w:rsidRDefault="00CC602F" w:rsidP="00CC602F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lastRenderedPageBreak/>
        <w:t xml:space="preserve"> 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:rsidR="00CC602F" w:rsidRPr="00463BC2" w:rsidRDefault="00CC602F" w:rsidP="00CC60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:rsidR="00CC602F" w:rsidRPr="00463BC2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:rsidR="00CC602F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CC602F" w:rsidRPr="00450087" w:rsidRDefault="00CC602F" w:rsidP="00CC602F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CC602F" w:rsidRPr="00450087" w:rsidRDefault="00CC602F" w:rsidP="00CC602F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CC602F" w:rsidRPr="00BF52B9" w:rsidRDefault="00CC602F" w:rsidP="00CC602F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:rsidR="00CC602F" w:rsidRPr="001A1B3B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CC602F" w:rsidRPr="00B80B0D" w:rsidRDefault="00CC602F" w:rsidP="00CC602F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CC602F" w:rsidRPr="00072448" w:rsidTr="00664D81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A652AD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C602F" w:rsidTr="00664D81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68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69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475F4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:rsidR="00CC602F" w:rsidRDefault="00CC602F" w:rsidP="00CC602F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CC602F" w:rsidRDefault="00CC602F" w:rsidP="00CC602F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CC602F" w:rsidRPr="001A1B3B" w:rsidRDefault="00CC602F" w:rsidP="00CC602F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CC602F" w:rsidRPr="00B80B0D" w:rsidRDefault="00CC602F" w:rsidP="00CC602F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C602F" w:rsidTr="00664D8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A652A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A652AD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Pozycja obejmuje ułożenie kabla na słupie, wprowadzenie i podłączenie kabla, ułożenie wymaganych zapasów kabla. 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lastRenderedPageBreak/>
              <w:t xml:space="preserve">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</w:t>
            </w:r>
            <w:bookmarkStart w:id="0" w:name="_GoBack"/>
            <w:bookmarkEnd w:id="0"/>
            <w:r w:rsidRPr="003475F4">
              <w:rPr>
                <w:rFonts w:ascii="Calibri" w:hAnsi="Calibri" w:cs="Calibri"/>
              </w:rPr>
              <w:t>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:rsidR="00CC602F" w:rsidRDefault="00CC602F" w:rsidP="00CC602F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CC602F" w:rsidRDefault="00CC602F" w:rsidP="00CC602F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CC602F" w:rsidRPr="00B80B0D" w:rsidRDefault="00CC602F" w:rsidP="00CC602F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C602F" w:rsidRPr="00072448" w:rsidTr="00664D8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B80B0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B80B0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B80B0D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B80B0D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:rsidR="00CC602F" w:rsidRDefault="00CC602F" w:rsidP="00CC602F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CC602F" w:rsidRDefault="00CC602F" w:rsidP="00CC602F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CC602F" w:rsidRDefault="00CC602F" w:rsidP="00CC602F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CC602F" w:rsidRPr="001D255C" w:rsidRDefault="00CC602F" w:rsidP="00CC602F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C602F" w:rsidRPr="00072448" w:rsidTr="00664D81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CC602F" w:rsidRPr="00C86BA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CC602F" w:rsidRPr="00C86BA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CC602F" w:rsidRPr="00C86BA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CC602F" w:rsidRPr="00C86BA2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:rsidR="00CC602F" w:rsidRPr="00BB3D7F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</w:tcPr>
          <w:p w:rsidR="00CC602F" w:rsidRPr="003475F4" w:rsidRDefault="00CC602F" w:rsidP="00664D8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55</w:t>
            </w:r>
          </w:p>
        </w:tc>
        <w:tc>
          <w:tcPr>
            <w:tcW w:w="6035" w:type="dxa"/>
          </w:tcPr>
          <w:p w:rsidR="00CC602F" w:rsidRPr="003475F4" w:rsidRDefault="00CC602F" w:rsidP="00664D8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6035" w:type="dxa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CC602F" w:rsidRPr="00BB5EDA" w:rsidTr="00664D81">
        <w:tc>
          <w:tcPr>
            <w:tcW w:w="419" w:type="dxa"/>
            <w:vAlign w:val="bottom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6035" w:type="dxa"/>
          </w:tcPr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Koszt pełnej obsługi geodezyjnej (</w:t>
            </w:r>
            <w:r w:rsidRPr="003475F4">
              <w:rPr>
                <w:rFonts w:asciiTheme="minorHAnsi" w:hAnsiTheme="minorHAnsi" w:cstheme="minorHAnsi"/>
                <w:i/>
              </w:rPr>
              <w:t>wytyczenie+inwentaryzacja)</w:t>
            </w:r>
          </w:p>
        </w:tc>
        <w:tc>
          <w:tcPr>
            <w:tcW w:w="707" w:type="dxa"/>
          </w:tcPr>
          <w:p w:rsidR="00CC602F" w:rsidRPr="003475F4" w:rsidRDefault="00CC602F" w:rsidP="00664D81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35" w:type="dxa"/>
          </w:tcPr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:rsidR="00CC602F" w:rsidRPr="003475F4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:rsidR="00CC602F" w:rsidRPr="00697CF0" w:rsidRDefault="00CC602F" w:rsidP="00664D81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B5EDA" w:rsidTr="00664D81">
        <w:tc>
          <w:tcPr>
            <w:tcW w:w="419" w:type="dxa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CC602F" w:rsidRPr="003475F4" w:rsidRDefault="00CC602F" w:rsidP="00664D81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C602F" w:rsidRPr="00B80B0D" w:rsidTr="00664D81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lastRenderedPageBreak/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CC602F" w:rsidRPr="003475F4" w:rsidRDefault="00CC602F" w:rsidP="00664D8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:rsidR="00CC602F" w:rsidRPr="003475F4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Pr="00BB3D7F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poz.49 + poz.50 + poz. 14+ poz.15 + poz.16 + poz.17 + poz.18 + poz.19 + poz.21 + poz.22 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CC602F" w:rsidRPr="003475F4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CC602F" w:rsidRDefault="00CC602F" w:rsidP="00CC602F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CC602F" w:rsidRDefault="00CC602F" w:rsidP="00CC602F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CC602F" w:rsidRDefault="00CC602F" w:rsidP="00CC602F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CC602F" w:rsidRDefault="00CC602F" w:rsidP="00CC602F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CC602F" w:rsidRPr="00C437C4" w:rsidRDefault="00CC602F" w:rsidP="00CC602F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CC602F" w:rsidRDefault="00CC602F" w:rsidP="00CC602F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CC602F" w:rsidRPr="00322E04" w:rsidRDefault="00CC602F" w:rsidP="00CC602F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CC602F" w:rsidRPr="00072448" w:rsidTr="00664D8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C602F" w:rsidRPr="008725F2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:rsidR="00CC602F" w:rsidRPr="00D7409B" w:rsidRDefault="00CC602F" w:rsidP="00664D81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CC602F" w:rsidRPr="001F616F" w:rsidRDefault="00CC602F" w:rsidP="00664D81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CC602F" w:rsidRPr="008725F2" w:rsidRDefault="00CC602F" w:rsidP="00664D81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CC602F" w:rsidRPr="008725F2" w:rsidRDefault="00CC602F" w:rsidP="00664D81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:rsidR="00CC602F" w:rsidRPr="00D7409B" w:rsidRDefault="00CC602F" w:rsidP="00664D81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CC602F" w:rsidRPr="001F616F" w:rsidRDefault="00CC602F" w:rsidP="00664D81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CC602F" w:rsidRPr="008725F2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CC602F" w:rsidRPr="008725F2" w:rsidRDefault="00CC602F" w:rsidP="00664D81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CC602F" w:rsidRPr="001F616F" w:rsidRDefault="00CC602F" w:rsidP="00664D81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:rsidR="00CC602F" w:rsidRPr="001F616F" w:rsidRDefault="00CC602F" w:rsidP="00664D81">
            <w:pPr>
              <w:rPr>
                <w:rFonts w:ascii="Calibri" w:hAnsi="Calibri" w:cs="Calibri"/>
                <w:color w:val="000000"/>
              </w:rPr>
            </w:pPr>
          </w:p>
          <w:p w:rsidR="00CC602F" w:rsidRPr="008725F2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C602F" w:rsidRPr="001F616F" w:rsidRDefault="00CC602F" w:rsidP="00664D81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:rsidR="00CC602F" w:rsidRPr="003475F4" w:rsidRDefault="00CC602F" w:rsidP="00664D81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CC602F" w:rsidRPr="001F616F" w:rsidRDefault="00CC602F" w:rsidP="00664D81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:rsidR="00CC602F" w:rsidRPr="003475F4" w:rsidRDefault="00CC602F" w:rsidP="00664D81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CC602F" w:rsidRPr="008725F2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CC602F" w:rsidRPr="008725F2" w:rsidRDefault="00CC602F" w:rsidP="00664D8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02F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CC602F" w:rsidRPr="00D7409B" w:rsidRDefault="00CC602F" w:rsidP="00664D81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>i w istniejący kabel YAKXS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CC602F" w:rsidRPr="003475F4" w:rsidRDefault="00CC602F" w:rsidP="00664D81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CC602F" w:rsidRPr="008725F2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CC602F" w:rsidRPr="008725F2" w:rsidRDefault="00CC602F" w:rsidP="00664D81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:rsidR="00CC602F" w:rsidRPr="0090586E" w:rsidRDefault="00CC602F" w:rsidP="00CC602F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CC602F" w:rsidRDefault="00CC602F" w:rsidP="00CC602F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CC602F" w:rsidRPr="00BD2748" w:rsidRDefault="00CC602F" w:rsidP="00CC602F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CC602F" w:rsidRPr="00072448" w:rsidTr="00664D81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C602F" w:rsidRDefault="00CC602F" w:rsidP="00664D8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C602F" w:rsidRDefault="00CC602F" w:rsidP="00664D8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C602F" w:rsidRPr="00072448" w:rsidRDefault="00CC602F" w:rsidP="00664D8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C602F" w:rsidTr="00664D81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C602F" w:rsidRDefault="00CC602F" w:rsidP="00664D81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:rsidR="00CC602F" w:rsidRPr="00332EF1" w:rsidRDefault="00CC602F" w:rsidP="00664D81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C602F" w:rsidRPr="00332EF1" w:rsidRDefault="00CC602F" w:rsidP="00664D81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Pr="00A8740F">
              <w:rPr>
                <w:rFonts w:ascii="Calibri" w:hAnsi="Calibri" w:cs="Arial"/>
              </w:rPr>
              <w:t>1 250A lub PBD-2 400A</w:t>
            </w:r>
            <w:r w:rsidRPr="001F616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lub PBD-3 630A </w:t>
            </w:r>
            <w:r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Pr="00A8740F">
              <w:rPr>
                <w:rFonts w:ascii="Calibri" w:hAnsi="Calibri" w:cs="Arial"/>
              </w:rPr>
              <w:t>250A lub NH-2 400A</w:t>
            </w:r>
            <w:r>
              <w:rPr>
                <w:rFonts w:ascii="Calibri" w:hAnsi="Calibri" w:cs="Arial"/>
              </w:rPr>
              <w:t xml:space="preserve"> lub NH-3 630A </w:t>
            </w:r>
            <w:r w:rsidRPr="001F616F">
              <w:rPr>
                <w:rFonts w:ascii="Calibri" w:hAnsi="Calibri" w:cs="Arial"/>
              </w:rPr>
              <w:t xml:space="preserve"> </w:t>
            </w:r>
            <w:r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CC602F" w:rsidRDefault="00CC602F" w:rsidP="00664D81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:rsidR="00CC602F" w:rsidRPr="00F676F1" w:rsidRDefault="00CC602F" w:rsidP="00664D81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:rsidR="00CC602F" w:rsidRPr="00F676F1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73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:rsidR="00CC602F" w:rsidRPr="001F616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:rsidR="00CC602F" w:rsidRPr="005B36CF" w:rsidRDefault="00CC602F" w:rsidP="00664D81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C602F" w:rsidRDefault="00CC602F" w:rsidP="00664D81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CC602F" w:rsidRPr="008725F2" w:rsidTr="00664D8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602F" w:rsidRPr="008725F2" w:rsidRDefault="00CC602F" w:rsidP="00664D81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CC602F" w:rsidRPr="008725F2" w:rsidRDefault="00CC602F" w:rsidP="00664D81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C602F" w:rsidRPr="008725F2" w:rsidRDefault="00CC602F" w:rsidP="00664D81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lastRenderedPageBreak/>
              <w:t xml:space="preserve">= 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:rsidR="00CC602F" w:rsidRDefault="00CC602F" w:rsidP="00CC602F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C602F" w:rsidRPr="001A1B3B" w:rsidRDefault="00CC602F" w:rsidP="00CC602F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:rsidR="00CC602F" w:rsidRPr="001A1B3B" w:rsidRDefault="00CC602F" w:rsidP="00CC602F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:rsidR="00CC602F" w:rsidRPr="006145F8" w:rsidRDefault="00CC602F" w:rsidP="00CC602F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CC602F" w:rsidRPr="00ED0B09" w:rsidRDefault="00CC602F" w:rsidP="00CC602F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CC602F" w:rsidRDefault="00CC602F" w:rsidP="00CC602F">
      <w:pPr>
        <w:rPr>
          <w:rFonts w:asciiTheme="minorHAnsi" w:hAnsiTheme="minorHAnsi" w:cs="Arial"/>
          <w:b/>
          <w:sz w:val="22"/>
          <w:szCs w:val="22"/>
        </w:rPr>
      </w:pPr>
    </w:p>
    <w:p w:rsidR="00CC602F" w:rsidRPr="00DB3A44" w:rsidRDefault="00CC602F" w:rsidP="00CC602F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:rsidR="00CC602F" w:rsidRDefault="00CC602F" w:rsidP="00CC602F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:rsidR="00CC602F" w:rsidRPr="003F4925" w:rsidRDefault="00CC602F" w:rsidP="00CC602F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CC602F" w:rsidRPr="00A455E6" w:rsidRDefault="00CC602F" w:rsidP="00CC602F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zamieszczonej w załączniku nr 3.1</w:t>
      </w:r>
    </w:p>
    <w:p w:rsidR="00CC602F" w:rsidRPr="00ED0B09" w:rsidRDefault="00CC602F" w:rsidP="00CC602F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Pr="00BD225F">
        <w:rPr>
          <w:rFonts w:asciiTheme="minorHAnsi" w:hAnsiTheme="minorHAnsi" w:cs="Arial"/>
          <w:b/>
          <w:sz w:val="22"/>
          <w:szCs w:val="22"/>
        </w:rPr>
        <w:t>.</w:t>
      </w:r>
    </w:p>
    <w:p w:rsidR="00CC602F" w:rsidRPr="003F4925" w:rsidRDefault="00CC602F" w:rsidP="00CC602F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:rsidR="00784EE3" w:rsidRPr="00784EE3" w:rsidRDefault="00CC602F" w:rsidP="00CC602F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</w:t>
      </w:r>
      <w:r w:rsidR="00784EE3" w:rsidRPr="00ED0B09">
        <w:rPr>
          <w:rFonts w:asciiTheme="minorHAnsi" w:hAnsiTheme="minorHAnsi" w:cs="Arial"/>
          <w:sz w:val="22"/>
          <w:szCs w:val="22"/>
        </w:rPr>
        <w:t>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8E" w:rsidRDefault="006D7D8E" w:rsidP="001E56D3">
      <w:pPr>
        <w:spacing w:line="240" w:lineRule="auto"/>
      </w:pPr>
      <w:r>
        <w:separator/>
      </w:r>
    </w:p>
  </w:endnote>
  <w:endnote w:type="continuationSeparator" w:id="0">
    <w:p w:rsidR="006D7D8E" w:rsidRDefault="006D7D8E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02F">
          <w:rPr>
            <w:noProof/>
          </w:rPr>
          <w:t>3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Pr="00B75164" w:rsidRDefault="00B75164">
    <w:pPr>
      <w:pStyle w:val="Stop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8E" w:rsidRDefault="006D7D8E" w:rsidP="001E56D3">
      <w:pPr>
        <w:spacing w:line="240" w:lineRule="auto"/>
      </w:pPr>
      <w:r>
        <w:separator/>
      </w:r>
    </w:p>
  </w:footnote>
  <w:footnote w:type="continuationSeparator" w:id="0">
    <w:p w:rsidR="006D7D8E" w:rsidRDefault="006D7D8E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85DBF" w:rsidRPr="00185DBF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</w:t>
    </w:r>
    <w:r w:rsidR="00CC602F">
      <w:rPr>
        <w:rFonts w:asciiTheme="minorHAnsi" w:eastAsia="Calibri" w:hAnsiTheme="minorHAnsi" w:cs="Arial"/>
        <w:b/>
        <w:noProof/>
        <w:sz w:val="22"/>
        <w:szCs w:val="52"/>
        <w:lang w:eastAsia="en-US"/>
      </w:rPr>
      <w:t>3</w:t>
    </w:r>
    <w:r w:rsidR="00185DBF">
      <w:rPr>
        <w:rFonts w:asciiTheme="minorHAnsi" w:eastAsia="Calibri" w:hAnsiTheme="minorHAnsi" w:cs="Arial"/>
        <w:b/>
        <w:noProof/>
        <w:sz w:val="22"/>
        <w:szCs w:val="52"/>
        <w:lang w:eastAsia="en-US"/>
      </w:rPr>
      <w:t>2</w:t>
    </w:r>
    <w:r w:rsidR="00CC602F">
      <w:rPr>
        <w:rFonts w:asciiTheme="minorHAnsi" w:eastAsia="Calibri" w:hAnsiTheme="minorHAnsi" w:cs="Arial"/>
        <w:b/>
        <w:noProof/>
        <w:sz w:val="22"/>
        <w:szCs w:val="52"/>
        <w:lang w:eastAsia="en-US"/>
      </w:rPr>
      <w:t>87</w:t>
    </w:r>
    <w:r w:rsidR="00185DBF" w:rsidRPr="00185DBF">
      <w:rPr>
        <w:rFonts w:asciiTheme="minorHAnsi" w:eastAsia="Calibri" w:hAnsiTheme="minorHAnsi" w:cs="Arial"/>
        <w:b/>
        <w:noProof/>
        <w:sz w:val="22"/>
        <w:szCs w:val="52"/>
        <w:lang w:eastAsia="en-US"/>
      </w:rPr>
      <w:t>/2024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820F1"/>
    <w:rsid w:val="00185DBF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3A50"/>
    <w:rsid w:val="00826B02"/>
    <w:rsid w:val="00827AC6"/>
    <w:rsid w:val="00830079"/>
    <w:rsid w:val="00837EC8"/>
    <w:rsid w:val="008413CC"/>
    <w:rsid w:val="00851FBD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75164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C602F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55276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078AE0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ZG-PA.docx</dmsv2BaseFileName>
    <dmsv2BaseDisplayName xmlns="http://schemas.microsoft.com/sharepoint/v3">Załącznik nr 1.2 do SWZ RE ZG-PA</dmsv2BaseDisplayName>
    <dmsv2SWPP2ObjectNumber xmlns="http://schemas.microsoft.com/sharepoint/v3">POST/DYS/OLD/GZ/03287/2024                        </dmsv2SWPP2ObjectNumber>
    <dmsv2SWPP2SumMD5 xmlns="http://schemas.microsoft.com/sharepoint/v3">3935afcc45e53d6f3bbd2f9cf0c29c22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21041406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AEASQFSYQUA4-848585078-10363</_dlc_DocId>
    <_dlc_DocIdUrl xmlns="a19cb1c7-c5c7-46d4-85ae-d83685407bba">
      <Url>https://swpp2.dms.gkpge.pl/sites/32/_layouts/15/DocIdRedir.aspx?ID=AEASQFSYQUA4-848585078-10363</Url>
      <Description>AEASQFSYQUA4-848585078-10363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5C59-7650-4716-8FE7-665E562167B7}"/>
</file>

<file path=customXml/itemProps2.xml><?xml version="1.0" encoding="utf-8"?>
<ds:datastoreItem xmlns:ds="http://schemas.openxmlformats.org/officeDocument/2006/customXml" ds:itemID="{C8F90FE6-57FF-4FED-8026-7BB9606503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AD47CC2-3727-4268-8532-A8D6E2C16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2A6ACB-CEB9-4FC9-8217-324B10D737A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36DCAA-5E21-4600-9A32-48424BDB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11</Pages>
  <Words>3915</Words>
  <Characters>23491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Kowalska Katarzyna [PGE Dystr. O.Łódź]</cp:lastModifiedBy>
  <cp:revision>177</cp:revision>
  <cp:lastPrinted>2016-07-14T05:37:00Z</cp:lastPrinted>
  <dcterms:created xsi:type="dcterms:W3CDTF">2016-07-14T05:49:00Z</dcterms:created>
  <dcterms:modified xsi:type="dcterms:W3CDTF">2024-11-13T11:04:00Z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9a2b4837-a075-40a9-a65e-d2970cd3c5f4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2024-10-25T06:43:35Z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ae6346a2-a738-4a8c-9e36-3f9948cabb75</vt:lpwstr>
  </property>
  <property fmtid="{D5CDD505-2E9C-101B-9397-08002B2CF9AE}" pid="10" name="MSIP_Label_66b5d990-821a-4d41-b503-280f184b2126_ContentBits">
    <vt:lpwstr>0</vt:lpwstr>
  </property>
</Properties>
</file>