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0CEAEA3"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00B43477">
        <w:rPr>
          <w:rFonts w:asciiTheme="minorHAnsi" w:hAnsiTheme="minorHAnsi" w:cstheme="minorHAnsi"/>
          <w:b/>
          <w:color w:val="17365D" w:themeColor="text2" w:themeShade="BF"/>
          <w:szCs w:val="22"/>
        </w:rPr>
        <w:t>POST/DYS/OLD/GZ/03212/2024</w:t>
      </w:r>
      <w:r w:rsidR="00B43477">
        <w:rPr>
          <w:rFonts w:asciiTheme="minorHAnsi" w:hAnsiTheme="minorHAnsi" w:cstheme="minorHAnsi"/>
          <w:b/>
          <w:color w:val="17365D" w:themeColor="text2" w:themeShade="BF"/>
          <w:szCs w:val="22"/>
        </w:rPr>
        <w:t xml:space="preserve"> </w:t>
      </w:r>
      <w:bookmarkStart w:id="0" w:name="_GoBack"/>
      <w:bookmarkEnd w:id="0"/>
      <w:r w:rsidRPr="005B065B">
        <w:rPr>
          <w:rFonts w:cs="Arial"/>
          <w:sz w:val="19"/>
          <w:szCs w:val="19"/>
        </w:rPr>
        <w:t xml:space="preserve">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1"/>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66CDFE64" w:rsidR="00C17F5D" w:rsidRPr="00F42E8A" w:rsidRDefault="00E82F07" w:rsidP="003C4FDE">
            <w:pPr>
              <w:pStyle w:val="IIIPodstawowy"/>
              <w:spacing w:before="0" w:after="0"/>
              <w:jc w:val="center"/>
              <w:rPr>
                <w:rFonts w:cs="Arial"/>
                <w:sz w:val="19"/>
                <w:szCs w:val="19"/>
              </w:rPr>
            </w:pPr>
            <w:r w:rsidRPr="00E82F07">
              <w:rPr>
                <w:rFonts w:cs="Arial"/>
                <w:sz w:val="19"/>
                <w:szCs w:val="19"/>
              </w:rPr>
              <w:t>Wykonanie robót budowlanych w branży elektroenergetycznej na terenie OŁD w RE Sieradz i RE Piotrków Trybunalski w podziale na 5 części</w:t>
            </w:r>
            <w:r>
              <w:rPr>
                <w:rFonts w:cs="Arial"/>
                <w:sz w:val="19"/>
                <w:szCs w:val="19"/>
              </w:rPr>
              <w:t>, część……..</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B43477"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B43477"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E82F0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E82F0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E82F07">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E82F0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E82F0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E82F07">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E82F0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E82F0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E82F07">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B43477"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razie przekroczenia deklarowanego czasu </w:t>
      </w:r>
      <w:proofErr w:type="spellStart"/>
      <w:r w:rsidRPr="003515F9">
        <w:rPr>
          <w:sz w:val="19"/>
          <w:szCs w:val="19"/>
        </w:rPr>
        <w:t>wyłączeń</w:t>
      </w:r>
      <w:proofErr w:type="spellEnd"/>
      <w:r w:rsidR="004A04E0">
        <w:rPr>
          <w:sz w:val="19"/>
          <w:szCs w:val="19"/>
        </w:rPr>
        <w:t xml:space="preserve"> </w:t>
      </w:r>
      <w:r w:rsidR="004A04E0">
        <w:rPr>
          <w:szCs w:val="18"/>
        </w:rPr>
        <w:t xml:space="preserve">w uzgodnionym harmonogramie </w:t>
      </w:r>
      <w:proofErr w:type="spellStart"/>
      <w:r w:rsidR="004A04E0">
        <w:rPr>
          <w:szCs w:val="18"/>
        </w:rPr>
        <w:t>wyłączeń</w:t>
      </w:r>
      <w:proofErr w:type="spellEnd"/>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t>
      </w:r>
      <w:proofErr w:type="spellStart"/>
      <w:r w:rsidRPr="003515F9">
        <w:rPr>
          <w:sz w:val="19"/>
          <w:szCs w:val="19"/>
        </w:rPr>
        <w:t>wyłączeń</w:t>
      </w:r>
      <w:proofErr w:type="spellEnd"/>
      <w:r w:rsidRPr="003515F9">
        <w:rPr>
          <w:sz w:val="19"/>
          <w:szCs w:val="19"/>
        </w:rPr>
        <w:t xml:space="preserve">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 xml:space="preserve">pomnożonego przez stosunek liczby godzin dodatkowego wyłączenia do łącznej liczby godzin deklarowanych </w:t>
      </w:r>
      <w:proofErr w:type="spellStart"/>
      <w:r w:rsidRPr="003515F9">
        <w:rPr>
          <w:sz w:val="19"/>
          <w:szCs w:val="19"/>
        </w:rPr>
        <w:t>wyłączeń</w:t>
      </w:r>
      <w:proofErr w:type="spellEnd"/>
      <w:r w:rsidRPr="003515F9">
        <w:rPr>
          <w:sz w:val="19"/>
          <w:szCs w:val="19"/>
        </w:rPr>
        <w:t xml:space="preserve">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t>
      </w:r>
      <w:proofErr w:type="spellStart"/>
      <w:r w:rsidR="004A04E0" w:rsidRPr="00C74913">
        <w:rPr>
          <w:szCs w:val="18"/>
        </w:rPr>
        <w:t>wyłączeń</w:t>
      </w:r>
      <w:proofErr w:type="spellEnd"/>
      <w:r w:rsidR="004A04E0" w:rsidRPr="00C74913">
        <w:rPr>
          <w:szCs w:val="18"/>
        </w:rPr>
        <w:t xml:space="preserve">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22021A60" w:rsidR="00F24B96" w:rsidRDefault="00F24B96" w:rsidP="009F5A4C">
        <w:pPr>
          <w:pStyle w:val="Stopka"/>
          <w:jc w:val="right"/>
        </w:pPr>
        <w:r>
          <w:fldChar w:fldCharType="begin"/>
        </w:r>
        <w:r>
          <w:instrText>PAGE   \* MERGEFORMAT</w:instrText>
        </w:r>
        <w:r>
          <w:fldChar w:fldCharType="separate"/>
        </w:r>
        <w:r w:rsidR="00B43477">
          <w:rPr>
            <w:noProof/>
          </w:rPr>
          <w:t>2</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0920739F" w:rsidR="00F24B96" w:rsidRDefault="00F24B96">
        <w:pPr>
          <w:pStyle w:val="Stopka"/>
          <w:jc w:val="center"/>
        </w:pPr>
        <w:r>
          <w:fldChar w:fldCharType="begin"/>
        </w:r>
        <w:r>
          <w:instrText>PAGE   \* MERGEFORMAT</w:instrText>
        </w:r>
        <w:r>
          <w:fldChar w:fldCharType="separate"/>
        </w:r>
        <w:r w:rsidR="00B43477">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0BEB"/>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5581"/>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17AF"/>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8F"/>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3477"/>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2F07"/>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Z2 wzór umowy na RB i OWU.docx</dmsv2BaseFileName>
    <dmsv2BaseDisplayName xmlns="http://schemas.microsoft.com/sharepoint/v3">Załącznik nr 5 do SWZ - Z2 wzór umowy na RB i OWU</dmsv2BaseDisplayName>
    <dmsv2SWPP2ObjectNumber xmlns="http://schemas.microsoft.com/sharepoint/v3">POST/DYS/OLD/GZ/03212/2024                        </dmsv2SWPP2ObjectNumber>
    <dmsv2SWPP2SumMD5 xmlns="http://schemas.microsoft.com/sharepoint/v3">d8569290626b2e40cda39abc310c3f8e</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20990638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AEASQFSYQUA4-921679528-10624</_dlc_DocId>
    <_dlc_DocIdUrl xmlns="a19cb1c7-c5c7-46d4-85ae-d83685407bba">
      <Url>https://swpp2.dms.gkpge.pl/sites/32/_layouts/15/DocIdRedir.aspx?ID=AEASQFSYQUA4-921679528-10624</Url>
      <Description>AEASQFSYQUA4-921679528-10624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384C5E87-2292-4AE3-A8B5-BACC4D1230EF}">
  <ds:schemaRefs>
    <ds:schemaRef ds:uri="http://schemas.microsoft.com/sharepoint/events"/>
  </ds:schemaRefs>
</ds:datastoreItem>
</file>

<file path=customXml/itemProps4.xml><?xml version="1.0" encoding="utf-8"?>
<ds:datastoreItem xmlns:ds="http://schemas.openxmlformats.org/officeDocument/2006/customXml" ds:itemID="{1DBAFA4D-19C6-42C6-A922-D9CEC267B0A5}"/>
</file>

<file path=customXml/itemProps5.xml><?xml version="1.0" encoding="utf-8"?>
<ds:datastoreItem xmlns:ds="http://schemas.openxmlformats.org/officeDocument/2006/customXml" ds:itemID="{0AB3454B-6C6D-4D06-AB32-B8536C80E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18129</Words>
  <Characters>108778</Characters>
  <Application>Microsoft Office Word</Application>
  <DocSecurity>0</DocSecurity>
  <Lines>906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126654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10</cp:revision>
  <cp:lastPrinted>2024-09-05T05:52:00Z</cp:lastPrinted>
  <dcterms:created xsi:type="dcterms:W3CDTF">2024-09-23T07:03:00Z</dcterms:created>
  <dcterms:modified xsi:type="dcterms:W3CDTF">2024-11-06T06:36:00Z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ocset_NoMedatataSyncRequired">
    <vt:lpwstr>False</vt:lpwstr>
  </property>
  <property fmtid="{D5CDD505-2E9C-101B-9397-08002B2CF9AE}" pid="4" name="_dlc_DocIdItemGuid">
    <vt:lpwstr>39e0386c-c856-4fae-844e-bca85b3a1434</vt:lpwstr>
  </property>
</Properties>
</file>