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nN, zacisków przyłączeniowych nN (DN), zacisków przyłączeniowych SN (GN), przepustów olejowych nN (DN), przepustów olejowych SN (GN), osłon izolacyjnych nN, osłon </w:t>
      </w:r>
      <w:r w:rsidRPr="00B507BE">
        <w:rPr>
          <w:rFonts w:eastAsia="Times New Roman" w:cs="Arial"/>
          <w:lang w:eastAsia="pl-PL"/>
        </w:rPr>
        <w:lastRenderedPageBreak/>
        <w:t>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w:t>
            </w:r>
            <w:r w:rsidRPr="00394E1A">
              <w:rPr>
                <w:rFonts w:eastAsia="Times New Roman" w:cs="Arial"/>
                <w:color w:val="FF0000"/>
                <w:u w:val="single"/>
                <w:lang w:eastAsia="pl-PL"/>
              </w:rPr>
              <w:t xml:space="preserve"> x 2,5%Un</w:t>
            </w:r>
            <w:r>
              <w:rPr>
                <w:rFonts w:eastAsia="Times New Roman" w:cs="Arial"/>
                <w:color w:val="FF0000"/>
                <w:u w:val="single"/>
                <w:lang w:eastAsia="pl-PL"/>
              </w:rPr>
              <w:t>.</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6"/>
  </w:num>
  <w:num w:numId="4">
    <w:abstractNumId w:val="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2"/>
    </w:lvlOverride>
    <w:lvlOverride w:ilvl="2"/>
    <w:lvlOverride w:ilvl="3"/>
    <w:lvlOverride w:ilvl="4"/>
    <w:lvlOverride w:ilvl="5"/>
    <w:lvlOverride w:ilvl="6"/>
    <w:lvlOverride w:ilvl="7"/>
    <w:lvlOverride w:ilvl="8"/>
  </w:num>
  <w:num w:numId="9">
    <w:abstractNumId w:val="11"/>
  </w:num>
  <w:num w:numId="10">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2"/>
  </w:num>
  <w:num w:numId="16">
    <w:abstractNumId w:val="6"/>
  </w:num>
  <w:num w:numId="17">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18"/>
  </w:num>
  <w:num w:numId="23">
    <w:abstractNumId w:val="10"/>
  </w:num>
  <w:num w:numId="24">
    <w:abstractNumId w:val="27"/>
  </w:num>
  <w:num w:numId="25">
    <w:abstractNumId w:val="14"/>
  </w:num>
  <w:num w:numId="26">
    <w:abstractNumId w:val="23"/>
  </w:num>
  <w:num w:numId="27">
    <w:abstractNumId w:val="13"/>
  </w:num>
  <w:num w:numId="28">
    <w:abstractNumId w:val="1"/>
  </w:num>
  <w:num w:numId="29">
    <w:abstractNumId w:val="25"/>
  </w:num>
  <w:num w:numId="30">
    <w:abstractNumId w:val="28"/>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E68"/>
    <w:rsid w:val="00B028D2"/>
    <w:rsid w:val="00B36123"/>
    <w:rsid w:val="00B37EBF"/>
    <w:rsid w:val="00B507BE"/>
    <w:rsid w:val="00B51AFB"/>
    <w:rsid w:val="00B53E25"/>
    <w:rsid w:val="00B60F2B"/>
    <w:rsid w:val="00B651CA"/>
    <w:rsid w:val="00B76855"/>
    <w:rsid w:val="00B8552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POST/DYS/OLD/GZ/03169/2024                        </dmsv2SWPP2ObjectNumber>
    <dmsv2SWPP2SumMD5 xmlns="http://schemas.microsoft.com/sharepoint/v3">047dd2e841b677d0a325c65223e9a3e9</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20960767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AEASQFSYQUA4-1784930391-19003</_dlc_DocId>
    <_dlc_DocIdUrl xmlns="a19cb1c7-c5c7-46d4-85ae-d83685407bba">
      <Url>https://swpp2.dms.gkpge.pl/sites/32/_layouts/15/DocIdRedir.aspx?ID=AEASQFSYQUA4-1784930391-19003</Url>
      <Description>AEASQFSYQUA4-1784930391-19003</Description>
    </_dlc_DocIdUrl>
  </documentManagement>
</p:properties>
</file>

<file path=customXml/itemProps1.xml><?xml version="1.0" encoding="utf-8"?>
<ds:datastoreItem xmlns:ds="http://schemas.openxmlformats.org/officeDocument/2006/customXml" ds:itemID="{2A168899-E9B6-4F35-BB13-37A44909B829}">
  <ds:schemaRefs>
    <ds:schemaRef ds:uri="http://schemas.openxmlformats.org/officeDocument/2006/bibliography"/>
  </ds:schemaRefs>
</ds:datastoreItem>
</file>

<file path=customXml/itemProps2.xml><?xml version="1.0" encoding="utf-8"?>
<ds:datastoreItem xmlns:ds="http://schemas.openxmlformats.org/officeDocument/2006/customXml" ds:itemID="{C5E4ACD3-EA22-4946-B36E-E99138C2E7B3}"/>
</file>

<file path=customXml/itemProps3.xml><?xml version="1.0" encoding="utf-8"?>
<ds:datastoreItem xmlns:ds="http://schemas.openxmlformats.org/officeDocument/2006/customXml" ds:itemID="{11A9A25F-8E69-4D73-863E-7992F9D81CDE}"/>
</file>

<file path=customXml/itemProps4.xml><?xml version="1.0" encoding="utf-8"?>
<ds:datastoreItem xmlns:ds="http://schemas.openxmlformats.org/officeDocument/2006/customXml" ds:itemID="{7DC9DD05-2C27-4FD8-92C4-040C45E53D3F}"/>
</file>

<file path=customXml/itemProps5.xml><?xml version="1.0" encoding="utf-8"?>
<ds:datastoreItem xmlns:ds="http://schemas.openxmlformats.org/officeDocument/2006/customXml" ds:itemID="{56DB341A-6D1B-4EBE-B84B-2E870200EFD3}"/>
</file>

<file path=docProps/app.xml><?xml version="1.0" encoding="utf-8"?>
<Properties xmlns="http://schemas.openxmlformats.org/officeDocument/2006/extended-properties" xmlns:vt="http://schemas.openxmlformats.org/officeDocument/2006/docPropsVTypes">
  <Template>Normal</Template>
  <TotalTime>195</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Ogrodniczak Tomasz [PGE Dystr. O.Łódź]</cp:lastModifiedBy>
  <cp:revision>13</cp:revision>
  <dcterms:created xsi:type="dcterms:W3CDTF">2022-02-02T06:32:00Z</dcterms:created>
  <dcterms:modified xsi:type="dcterms:W3CDTF">2023-01-12T11:54:00Z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35413349-0692-4058-9dbb-28292b937019</vt:lpwstr>
  </property>
</Properties>
</file>