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5D4051AB"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559D6BC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5A6FB4D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art. 3 ust. 1 pkt 37 ustawy z dnia 29 września 1994 r. o rachunkowości (tj.: Dz. U. z 2021 r. poz. 217 ze zm.), jest podmiot wymieniony w wykazach określonych w Rozporządzeniu 765/2006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3AA939B"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45476260"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 xml:space="preserve">z dnia 25 czerwca 2010 r. o sporcie (Dz.U. z 2020 r. poz. 1133 oraz z 2021 r. poz. 2054) lub w </w:t>
      </w:r>
      <w:r w:rsidRPr="00A24791">
        <w:rPr>
          <w:rFonts w:asciiTheme="minorHAnsi" w:eastAsia="Calibri" w:hAnsiTheme="minorHAnsi" w:cstheme="minorHAnsi"/>
          <w:bCs/>
          <w:sz w:val="20"/>
        </w:rPr>
        <w:lastRenderedPageBreak/>
        <w:t>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13F292D6"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o zamówienia publiczne,</w:t>
      </w:r>
    </w:p>
    <w:p w14:paraId="1FB722EF" w14:textId="1EA47A9D"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399A09C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42B36F79"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w:t>
      </w:r>
      <w:r w:rsidR="007D23A0">
        <w:rPr>
          <w:rFonts w:asciiTheme="minorHAnsi" w:eastAsia="Calibri" w:hAnsiTheme="minorHAnsi" w:cstheme="minorHAnsi"/>
          <w:bCs/>
          <w:sz w:val="20"/>
        </w:rPr>
        <w:br/>
      </w:r>
      <w:r w:rsidRPr="00A24791">
        <w:rPr>
          <w:rFonts w:asciiTheme="minorHAnsi" w:eastAsia="Calibri" w:hAnsiTheme="minorHAnsi" w:cstheme="minorHAnsi"/>
          <w:bCs/>
          <w:sz w:val="20"/>
        </w:rPr>
        <w:t>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572C5E16" w:rsidR="00404A53" w:rsidRPr="00FC0243" w:rsidRDefault="00EB6D0A"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1F4B01">
        <w:rPr>
          <w:rFonts w:asciiTheme="minorHAnsi" w:hAnsiTheme="minorHAnsi" w:cstheme="minorHAnsi"/>
          <w:snapToGrid w:val="0"/>
          <w:sz w:val="20"/>
          <w:lang w:eastAsia="pl-PL"/>
        </w:rPr>
        <w:t xml:space="preserve">w okresie ostatnich 3 lat przed upływem terminu składania ofert, a jeżeli okres prowadzenia działalności jest krótszy – w tym okresie, zrealizowali minimum </w:t>
      </w:r>
      <w:r>
        <w:rPr>
          <w:rFonts w:asciiTheme="minorHAnsi" w:hAnsiTheme="minorHAnsi" w:cstheme="minorHAnsi"/>
          <w:snapToGrid w:val="0"/>
          <w:sz w:val="20"/>
          <w:lang w:eastAsia="pl-PL"/>
        </w:rPr>
        <w:t>3</w:t>
      </w:r>
      <w:r w:rsidRPr="001F4B01">
        <w:rPr>
          <w:rFonts w:asciiTheme="minorHAnsi" w:hAnsiTheme="minorHAnsi" w:cstheme="minorHAnsi"/>
          <w:snapToGrid w:val="0"/>
          <w:sz w:val="20"/>
          <w:lang w:eastAsia="pl-PL"/>
        </w:rPr>
        <w:t xml:space="preserve"> dokumentacje projektowe odpowiadające swoim rodzajem </w:t>
      </w:r>
      <w:r w:rsidRPr="00F30FA5">
        <w:rPr>
          <w:rFonts w:asciiTheme="minorHAnsi" w:hAnsiTheme="minorHAnsi" w:cstheme="minorHAnsi"/>
          <w:snapToGrid w:val="0"/>
          <w:sz w:val="20"/>
          <w:lang w:eastAsia="pl-PL"/>
        </w:rPr>
        <w:t>projektom stanowiącym przedmiot zamówienia</w:t>
      </w:r>
      <w:r w:rsidR="008E591A" w:rsidRPr="00FC0243">
        <w:rPr>
          <w:rFonts w:asciiTheme="minorHAnsi" w:hAnsiTheme="minorHAnsi" w:cstheme="minorHAnsi"/>
          <w:snapToGrid w:val="0"/>
          <w:sz w:val="20"/>
          <w:lang w:eastAsia="pl-PL"/>
        </w:rPr>
        <w:t>,</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4242608B" w14:textId="4DF1CE23" w:rsidR="00D955E8" w:rsidRDefault="00EB6D0A" w:rsidP="00A24791">
      <w:pPr>
        <w:numPr>
          <w:ilvl w:val="0"/>
          <w:numId w:val="4"/>
        </w:numPr>
        <w:spacing w:before="60" w:after="120" w:line="240" w:lineRule="auto"/>
        <w:contextualSpacing/>
        <w:rPr>
          <w:rFonts w:asciiTheme="minorHAnsi" w:hAnsiTheme="minorHAnsi" w:cstheme="minorHAnsi"/>
          <w:sz w:val="20"/>
          <w:lang w:eastAsia="pl-PL"/>
        </w:rPr>
      </w:pPr>
      <w:r w:rsidRPr="004B4556">
        <w:rPr>
          <w:rFonts w:asciiTheme="minorHAnsi" w:hAnsiTheme="minorHAnsi" w:cstheme="minorHAnsi"/>
          <w:sz w:val="20"/>
          <w:lang w:eastAsia="pl-PL"/>
        </w:rPr>
        <w:t xml:space="preserve">co najmniej </w:t>
      </w:r>
      <w:r>
        <w:rPr>
          <w:rFonts w:asciiTheme="minorHAnsi" w:hAnsiTheme="minorHAnsi" w:cstheme="minorHAnsi"/>
          <w:sz w:val="20"/>
          <w:lang w:eastAsia="pl-PL"/>
        </w:rPr>
        <w:t>1</w:t>
      </w:r>
      <w:r w:rsidRPr="004B4556">
        <w:rPr>
          <w:rFonts w:asciiTheme="minorHAnsi" w:hAnsiTheme="minorHAnsi" w:cstheme="minorHAnsi"/>
          <w:sz w:val="20"/>
          <w:lang w:eastAsia="pl-PL"/>
        </w:rPr>
        <w:t xml:space="preserve"> </w:t>
      </w:r>
      <w:r w:rsidRPr="00F30FA5">
        <w:rPr>
          <w:rFonts w:asciiTheme="minorHAnsi" w:hAnsiTheme="minorHAnsi" w:cstheme="minorHAnsi"/>
          <w:sz w:val="20"/>
          <w:lang w:eastAsia="pl-PL"/>
        </w:rPr>
        <w:t xml:space="preserve">osobą posiadającą uprawnienia budowlane do projektowania (uprawnienia </w:t>
      </w:r>
      <w:r w:rsidRPr="00F30FA5">
        <w:rPr>
          <w:rFonts w:asciiTheme="minorHAnsi" w:hAnsiTheme="minorHAnsi" w:cstheme="minorHAnsi"/>
          <w:sz w:val="20"/>
          <w:lang w:eastAsia="pl-PL"/>
        </w:rPr>
        <w:br/>
        <w:t>z aktualną przynależnością do właściwej Okręgowej Izby Inżynierów Budownictwa) adekwatne do zakresu i rodzaju prac projektowych przewidzianych do</w:t>
      </w:r>
      <w:r>
        <w:rPr>
          <w:rFonts w:asciiTheme="minorHAnsi" w:hAnsiTheme="minorHAnsi" w:cstheme="minorHAnsi"/>
          <w:sz w:val="20"/>
          <w:lang w:eastAsia="pl-PL"/>
        </w:rPr>
        <w:t xml:space="preserve"> realizacji zadania określonego </w:t>
      </w:r>
      <w:r w:rsidRPr="00F30FA5">
        <w:rPr>
          <w:rFonts w:asciiTheme="minorHAnsi" w:hAnsiTheme="minorHAnsi" w:cstheme="minorHAnsi"/>
          <w:sz w:val="20"/>
          <w:lang w:eastAsia="pl-PL"/>
        </w:rPr>
        <w:t>w Specyfikacji Technicznej (załącznik nr 1.</w:t>
      </w:r>
      <w:r>
        <w:rPr>
          <w:rFonts w:asciiTheme="minorHAnsi" w:hAnsiTheme="minorHAnsi" w:cstheme="minorHAnsi"/>
          <w:sz w:val="20"/>
          <w:lang w:eastAsia="pl-PL"/>
        </w:rPr>
        <w:t>7</w:t>
      </w:r>
      <w:r w:rsidRPr="00F30FA5">
        <w:rPr>
          <w:rFonts w:asciiTheme="minorHAnsi" w:hAnsiTheme="minorHAnsi" w:cstheme="minorHAnsi"/>
          <w:sz w:val="20"/>
          <w:lang w:eastAsia="pl-PL"/>
        </w:rPr>
        <w:t xml:space="preserve"> do SWZ) tj</w:t>
      </w:r>
      <w:r w:rsidRPr="001F4B01">
        <w:rPr>
          <w:rFonts w:asciiTheme="minorHAnsi" w:hAnsiTheme="minorHAnsi" w:cstheme="minorHAnsi"/>
          <w:sz w:val="20"/>
          <w:lang w:eastAsia="pl-PL"/>
        </w:rPr>
        <w:t>. w specjalności instalacyjnej w zakresie sieci, instalacji i urządzeń elektrycznych i elektroenergetycznych</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47EBC28A"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7D23A0">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 xml:space="preserve">W przypadku wspólnego ubiegania się o udzielenie zamówienia przez dwóch lub więcej Wykonawców, Zamawiający uzna warunek za spełniony, gdy dokument przedłoży ten z Wykonawców, </w:t>
      </w:r>
      <w:r w:rsidRPr="004B4556">
        <w:rPr>
          <w:rFonts w:asciiTheme="minorHAnsi" w:hAnsiTheme="minorHAnsi" w:cstheme="minorHAnsi"/>
          <w:bCs/>
          <w:sz w:val="20"/>
          <w:lang w:eastAsia="pl-PL"/>
        </w:rPr>
        <w:lastRenderedPageBreak/>
        <w:t>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096C44B6" w14:textId="77777777" w:rsidR="00EB6D0A" w:rsidRDefault="00EB6D0A" w:rsidP="00EB6D0A">
      <w:pPr>
        <w:spacing w:before="60" w:line="240" w:lineRule="auto"/>
        <w:rPr>
          <w:rFonts w:asciiTheme="minorHAnsi" w:hAnsiTheme="minorHAnsi" w:cstheme="minorHAnsi"/>
          <w:sz w:val="20"/>
          <w:lang w:eastAsia="pl-PL"/>
        </w:rPr>
      </w:pPr>
    </w:p>
    <w:p w14:paraId="200FA6C4" w14:textId="0E35DBC6" w:rsidR="009135F5" w:rsidRPr="00EB6D0A" w:rsidRDefault="00EB6D0A" w:rsidP="00EB6D0A">
      <w:pPr>
        <w:spacing w:before="60" w:line="240" w:lineRule="auto"/>
        <w:ind w:firstLine="426"/>
        <w:rPr>
          <w:rFonts w:asciiTheme="minorHAnsi" w:hAnsiTheme="minorHAnsi" w:cstheme="minorHAnsi"/>
          <w:sz w:val="20"/>
          <w:lang w:eastAsia="pl-PL"/>
        </w:rPr>
      </w:pPr>
      <w:r w:rsidRPr="00EB6D0A">
        <w:rPr>
          <w:rFonts w:asciiTheme="minorHAnsi" w:hAnsiTheme="minorHAnsi" w:cstheme="minorHAnsi"/>
          <w:sz w:val="20"/>
          <w:lang w:eastAsia="pl-PL"/>
        </w:rPr>
        <w:t>Zamawiający nie stawia szczególnych warunków w tym zakresie</w:t>
      </w:r>
      <w:r w:rsidR="005119A3" w:rsidRPr="00EB6D0A">
        <w:rPr>
          <w:rFonts w:asciiTheme="minorHAnsi" w:hAnsiTheme="minorHAnsi" w:cstheme="minorHAnsi"/>
          <w:sz w:val="20"/>
          <w:lang w:eastAsia="pl-PL"/>
        </w:rPr>
        <w:t>.</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0883496"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w:t>
      </w:r>
      <w:r w:rsidR="007D23A0">
        <w:rPr>
          <w:rFonts w:asciiTheme="minorHAnsi" w:eastAsia="Calibri" w:hAnsiTheme="minorHAnsi" w:cstheme="minorHAnsi"/>
          <w:b/>
          <w:sz w:val="20"/>
        </w:rPr>
        <w:br/>
      </w:r>
      <w:r w:rsidRPr="00954A7F">
        <w:rPr>
          <w:rFonts w:asciiTheme="minorHAnsi" w:eastAsia="Calibri" w:hAnsiTheme="minorHAnsi" w:cstheme="minorHAnsi"/>
          <w:b/>
          <w:sz w:val="20"/>
        </w:rPr>
        <w:t xml:space="preserve">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0C13891E"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7D23A0">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46795758" w14:textId="620BEF8C" w:rsidR="00954A7F" w:rsidRPr="00EB6D0A" w:rsidRDefault="00954A7F" w:rsidP="00EB6D0A">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w:t>
      </w:r>
      <w:r w:rsidR="00EB6D0A">
        <w:rPr>
          <w:rFonts w:asciiTheme="minorHAnsi" w:eastAsia="Calibri" w:hAnsiTheme="minorHAnsi" w:cstheme="minorHAnsi"/>
          <w:bCs/>
          <w:sz w:val="20"/>
        </w:rPr>
        <w:t>ia, o których mowa w pkt 1.2.1 b</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38189CF1" w14:textId="3A984E42"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7D23A0">
        <w:rPr>
          <w:rFonts w:asciiTheme="minorHAnsi" w:eastAsia="Calibri" w:hAnsiTheme="minorHAnsi" w:cstheme="minorHAnsi"/>
          <w:sz w:val="20"/>
        </w:rPr>
        <w:br/>
      </w:r>
      <w:r w:rsidRPr="003E61E0">
        <w:rPr>
          <w:rFonts w:asciiTheme="minorHAnsi" w:eastAsia="Calibri" w:hAnsiTheme="minorHAnsi" w:cstheme="minorHAnsi"/>
          <w:sz w:val="20"/>
        </w:rPr>
        <w:t xml:space="preserve">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w:t>
      </w:r>
      <w:r w:rsidRPr="003E61E0">
        <w:rPr>
          <w:rFonts w:asciiTheme="minorHAnsi" w:eastAsia="Calibri" w:hAnsiTheme="minorHAnsi" w:cstheme="minorHAnsi"/>
          <w:sz w:val="20"/>
        </w:rPr>
        <w:lastRenderedPageBreak/>
        <w:t>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48314A32"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7D23A0">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24166B7E"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7D23A0">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zgodnie ze wzorem wskazanym w Załączni</w:t>
      </w:r>
      <w:r w:rsidR="004C732F">
        <w:rPr>
          <w:rFonts w:asciiTheme="minorHAnsi" w:hAnsiTheme="minorHAnsi" w:cstheme="minorHAnsi"/>
          <w:b/>
          <w:sz w:val="20"/>
        </w:rPr>
        <w:t>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7D23A0">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324B3ADD"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2B964A18" w14:textId="6D63895F" w:rsidR="003809D7" w:rsidRPr="00EB6D0A" w:rsidRDefault="008048D1" w:rsidP="00EB6D0A">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 xml:space="preserve">spółki cywilnej. Wystarczającymi dokumentami są również pełnomocnictwa wystawione przez każdego ze </w:t>
      </w:r>
      <w:r w:rsidRPr="004B4556">
        <w:rPr>
          <w:rFonts w:asciiTheme="minorHAnsi" w:hAnsiTheme="minorHAnsi" w:cstheme="minorHAnsi"/>
          <w:sz w:val="20"/>
        </w:rPr>
        <w:lastRenderedPageBreak/>
        <w:t>wspólników umowy spółki cywilnej / konsorcjum / innej podobnej umowy dla jednego wspólnego pełnomocnika</w:t>
      </w:r>
      <w:r w:rsidR="00A12FBB" w:rsidRPr="004B4556">
        <w:rPr>
          <w:rFonts w:asciiTheme="minorHAnsi" w:hAnsiTheme="minorHAnsi" w:cstheme="minorHAnsi"/>
          <w:sz w:val="20"/>
        </w:rPr>
        <w:t>.</w:t>
      </w:r>
    </w:p>
    <w:p w14:paraId="444B82EC" w14:textId="4278FD1B"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w:t>
      </w:r>
      <w:r w:rsidR="004920C7">
        <w:rPr>
          <w:rFonts w:asciiTheme="minorHAnsi" w:hAnsiTheme="minorHAnsi" w:cstheme="minorHAnsi"/>
          <w:sz w:val="20"/>
        </w:rPr>
        <w:t>1., 2.2., 2.4., 2.5., 2.6.</w:t>
      </w:r>
      <w:r w:rsidRPr="005B5AB4">
        <w:rPr>
          <w:rFonts w:asciiTheme="minorHAnsi" w:hAnsiTheme="minorHAnsi" w:cstheme="minorHAnsi"/>
          <w:sz w:val="20"/>
        </w:rPr>
        <w:t xml:space="preserve">,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w:t>
      </w:r>
      <w:r w:rsidR="007D23A0">
        <w:rPr>
          <w:rFonts w:asciiTheme="minorHAnsi" w:hAnsiTheme="minorHAnsi" w:cstheme="minorHAnsi"/>
          <w:sz w:val="20"/>
        </w:rPr>
        <w:br/>
      </w:r>
      <w:r w:rsidRPr="005B5AB4">
        <w:rPr>
          <w:rFonts w:asciiTheme="minorHAnsi" w:hAnsiTheme="minorHAnsi" w:cstheme="minorHAnsi"/>
          <w:sz w:val="20"/>
        </w:rPr>
        <w:t xml:space="preserve">i 3.6. (pełnomocnictwa) należy załączyć w postaci elektronicznej opatrzonej kwalifikowanym podpisem elektronicznym udzielającego pełnomocnictwa lub w formie skanu. </w:t>
      </w:r>
    </w:p>
    <w:p w14:paraId="05346CDB" w14:textId="57C0DE8B"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sidR="004920C7">
        <w:rPr>
          <w:rFonts w:asciiTheme="minorHAnsi" w:hAnsiTheme="minorHAnsi" w:cstheme="minorHAnsi"/>
          <w:sz w:val="20"/>
        </w:rPr>
        <w:t xml:space="preserve">pkt 2.1., 2.4., 2.5., 2.6 </w:t>
      </w:r>
      <w:r w:rsidRPr="005B5AB4">
        <w:rPr>
          <w:rFonts w:asciiTheme="minorHAnsi" w:hAnsiTheme="minorHAnsi" w:cstheme="minorHAnsi"/>
          <w:sz w:val="20"/>
        </w:rPr>
        <w:t>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w:t>
      </w:r>
      <w:bookmarkStart w:id="2" w:name="_GoBack"/>
      <w:bookmarkEnd w:id="2"/>
      <w:r w:rsidRPr="00F352A5">
        <w:rPr>
          <w:rFonts w:asciiTheme="minorHAnsi" w:hAnsiTheme="minorHAnsi" w:cstheme="minorHAnsi"/>
          <w:sz w:val="20"/>
        </w:rPr>
        <w:t xml:space="preserve">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E3187" w14:textId="77777777" w:rsidR="006A4DCE" w:rsidRDefault="006A4DCE" w:rsidP="004A302B">
      <w:pPr>
        <w:spacing w:line="240" w:lineRule="auto"/>
      </w:pPr>
      <w:r>
        <w:separator/>
      </w:r>
    </w:p>
  </w:endnote>
  <w:endnote w:type="continuationSeparator" w:id="0">
    <w:p w14:paraId="393019F8" w14:textId="77777777" w:rsidR="006A4DCE" w:rsidRDefault="006A4DC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A93BE" w14:textId="77777777" w:rsidR="009C4754" w:rsidRDefault="009C47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96618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920C7">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920C7">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562BE" w14:textId="77777777" w:rsidR="009C4754" w:rsidRDefault="009C47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D2392" w14:textId="77777777" w:rsidR="006A4DCE" w:rsidRDefault="006A4DCE" w:rsidP="004A302B">
      <w:pPr>
        <w:spacing w:line="240" w:lineRule="auto"/>
      </w:pPr>
      <w:r>
        <w:separator/>
      </w:r>
    </w:p>
  </w:footnote>
  <w:footnote w:type="continuationSeparator" w:id="0">
    <w:p w14:paraId="671C1AF3" w14:textId="77777777" w:rsidR="006A4DCE" w:rsidRDefault="006A4DC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7CB01" w14:textId="77777777" w:rsidR="009C4754" w:rsidRDefault="009C47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FE8489D"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4C732F">
      <w:rPr>
        <w:rStyle w:val="Pogrubienie"/>
        <w:rFonts w:ascii="Arial" w:hAnsi="Arial" w:cs="Arial"/>
        <w:color w:val="000000"/>
        <w:sz w:val="18"/>
        <w:szCs w:val="18"/>
        <w:shd w:val="clear" w:color="auto" w:fill="FDFDFD"/>
      </w:rPr>
      <w:t>POST/DYS/OLD/GZ/03165/2024</w:t>
    </w:r>
    <w:r w:rsidR="004C732F">
      <w:rPr>
        <w:rStyle w:val="Pogrubienie"/>
        <w:rFonts w:ascii="Arial" w:hAnsi="Arial" w:cs="Arial"/>
        <w:color w:val="000000"/>
        <w:sz w:val="18"/>
        <w:szCs w:val="18"/>
        <w:shd w:val="clear" w:color="auto" w:fill="FDFDFD"/>
      </w:rPr>
      <w:tab/>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BB7FC" w14:textId="20A1BFE9" w:rsidR="009C4754" w:rsidRDefault="009C4754">
    <w:pPr>
      <w:pStyle w:val="Nagwek"/>
    </w:pPr>
    <w:r>
      <w:rPr>
        <w:rFonts w:asciiTheme="minorHAnsi" w:hAnsiTheme="minorHAnsi" w:cstheme="minorHAnsi"/>
        <w:sz w:val="18"/>
        <w:szCs w:val="18"/>
      </w:rPr>
      <w:t xml:space="preserve">Postępowanie zakupowe nr </w:t>
    </w:r>
    <w:r>
      <w:rPr>
        <w:rStyle w:val="Pogrubienie"/>
        <w:rFonts w:ascii="Arial" w:hAnsi="Arial" w:cs="Arial"/>
        <w:color w:val="000000"/>
        <w:sz w:val="18"/>
        <w:szCs w:val="18"/>
        <w:shd w:val="clear" w:color="auto" w:fill="FDFDFD"/>
      </w:rPr>
      <w:t>POST/DYS/OLD/GZ/03165/2024</w:t>
    </w:r>
    <w:r>
      <w:rPr>
        <w:rStyle w:val="Pogrubienie"/>
        <w:rFonts w:ascii="Arial" w:hAnsi="Arial" w:cs="Arial"/>
        <w:color w:val="000000"/>
        <w:sz w:val="18"/>
        <w:szCs w:val="18"/>
        <w:shd w:val="clear" w:color="auto" w:fill="FDFDFD"/>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20C7"/>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C732F"/>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23A0"/>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4754"/>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137"/>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6D0A"/>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C73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 PT 22-12-2022.docx</dmsv2BaseFileName>
    <dmsv2BaseDisplayName xmlns="http://schemas.microsoft.com/sharepoint/v3">Załącznik nr 2 do SWZ  Warunki udziału w postępowaniu PT 22-12-2022</dmsv2BaseDisplayName>
    <dmsv2SWPP2ObjectNumber xmlns="http://schemas.microsoft.com/sharepoint/v3">POST/DYS/OLD/GZ/02072/2021                        </dmsv2SWPP2ObjectNumber>
    <dmsv2SWPP2SumMD5 xmlns="http://schemas.microsoft.com/sharepoint/v3">cd33a5ac4d5109e702e3c1dada03b904</dmsv2SWPP2SumMD5>
    <dmsv2BaseMoved xmlns="http://schemas.microsoft.com/sharepoint/v3">false</dmsv2BaseMoved>
    <dmsv2BaseIsSensitive xmlns="http://schemas.microsoft.com/sharepoint/v3">true</dmsv2BaseIsSensitive>
    <dmsv2SWPP2IDSWPP2 xmlns="http://schemas.microsoft.com/sharepoint/v3">659696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20793367</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ZKQJDXMXURTQ-578776459-16544</_dlc_DocId>
    <_dlc_DocIdUrl xmlns="a19cb1c7-c5c7-46d4-85ae-d83685407bba">
      <Url>https://swpp2.dms.gkpge.pl/sites/31/_layouts/15/DocIdRedir.aspx?ID=ZKQJDXMXURTQ-578776459-16544</Url>
      <Description>ZKQJDXMXURTQ-578776459-16544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FF51B74-2396-48D2-BD1F-85797C725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2ADD50D1-5C44-45DC-9C6E-F1C9F8A37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3316</Words>
  <Characters>19900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Jarosz Klaudia [PGE Dystr. O.Łódź]</cp:lastModifiedBy>
  <cp:revision>34</cp:revision>
  <cp:lastPrinted>2021-02-26T13:14:00Z</cp:lastPrinted>
  <dcterms:created xsi:type="dcterms:W3CDTF">2021-11-04T11:46:00Z</dcterms:created>
  <dcterms:modified xsi:type="dcterms:W3CDTF">2024-10-31T12:02:00Z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fd078ac0-f135-4bf7-bd37-1d036a18549f</vt:lpwstr>
  </property>
</Properties>
</file>