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99B2C73"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w:t>
      </w:r>
      <w:r w:rsidR="00995F0D" w:rsidRPr="00995F0D">
        <w:rPr>
          <w:b/>
        </w:rPr>
        <w:t>RE Sieradz na obszar Zduńska Wola (M), Zduńska Wola (Gmina), Zapolice, Szadek.</w:t>
      </w:r>
      <w:r w:rsidRPr="00281145">
        <w:rPr>
          <w:b/>
        </w:rPr>
        <w:t xml:space="preserve">, </w:t>
      </w:r>
      <w:r w:rsidR="000E53E2" w:rsidRPr="00281145">
        <w:lastRenderedPageBreak/>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lastRenderedPageBreak/>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77777777" w:rsidR="00F028F0" w:rsidRPr="00281145" w:rsidRDefault="00F028F0" w:rsidP="005743B5">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5743B5" w:rsidRPr="005743B5">
        <w:rPr>
          <w:b/>
          <w:color w:val="92D050"/>
          <w:u w:val="single"/>
        </w:rPr>
        <w:t>15 grudnia 2023 roku do 15 marca 2024 roku oraz od 15 grudnia 2024 roku do 15 marca 2025 roku</w:t>
      </w:r>
      <w:r w:rsidRPr="005743B5">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w:t>
      </w:r>
      <w:r w:rsidRPr="00281145">
        <w:rPr>
          <w:color w:val="auto"/>
        </w:rPr>
        <w:lastRenderedPageBreak/>
        <w:t>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lastRenderedPageBreak/>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 xml:space="preserve">Wykonawca zobowiązuje się, że wypełni ustawowy obowiązek w zakresie wykazania                   w deklaracji VAT podatku należnego z tytułu wystawionych faktur objętych przedmiotową Umową. </w:t>
      </w:r>
      <w:bookmarkStart w:id="6" w:name="_GoBack"/>
      <w:r w:rsidR="00835AF1" w:rsidRPr="001D5A20">
        <w:t xml:space="preserve">Ponadto Wykonawca oświadczy, że pochodzenie towaru, który jest przedmiotem umowy jest </w:t>
      </w:r>
      <w:bookmarkEnd w:id="6"/>
      <w:r w:rsidR="00835AF1" w:rsidRPr="001D5A20">
        <w:t>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58340B">
      <w:pPr>
        <w:pStyle w:val="IIUstp"/>
      </w:pPr>
      <w:r w:rsidRPr="0058340B">
        <w:t>16</w:t>
      </w:r>
      <w:r w:rsidRPr="002C7F5F">
        <w:rPr>
          <w:b/>
        </w:rPr>
        <w:t>.</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3CAE25CD" w14:textId="77777777" w:rsidR="0058340B" w:rsidRDefault="007542D2" w:rsidP="0058340B">
      <w:pPr>
        <w:pStyle w:val="IIUstp"/>
        <w:numPr>
          <w:ilvl w:val="0"/>
          <w:numId w:val="0"/>
        </w:numPr>
        <w:ind w:left="360"/>
      </w:pPr>
      <w:r w:rsidRPr="002C7F5F">
        <w:t>handlowych (Dz.U. z 2019r. poz. 1649)”.</w:t>
      </w:r>
      <w:r w:rsidR="0058340B" w:rsidRPr="0058340B">
        <w:t xml:space="preserve"> </w:t>
      </w:r>
      <w:r w:rsidR="0058340B">
        <w:t>16. PGE Dystrybucja S.A. oświadcza, że posiada status dużego przedsiębiorcy – w rozumieniu</w:t>
      </w:r>
      <w:r w:rsidR="0058340B">
        <w:t xml:space="preserve"> </w:t>
      </w:r>
      <w:r w:rsidR="0058340B">
        <w:t>ustawy z dnia 8 marca 2013r. o przeciwdziałaniu nadmiernym opóźnieniom w transakcjach</w:t>
      </w:r>
      <w:r w:rsidR="0058340B">
        <w:t xml:space="preserve"> </w:t>
      </w:r>
      <w:r w:rsidR="0058340B">
        <w:t>handlowych (Dz.U. z 2019r. poz. 1649)”.</w:t>
      </w:r>
    </w:p>
    <w:p w14:paraId="68F3F267" w14:textId="3E8A18D5" w:rsidR="0058340B" w:rsidRDefault="0058340B" w:rsidP="0058340B">
      <w:pPr>
        <w:pStyle w:val="IIUstp"/>
      </w:pPr>
      <w:r>
        <w:t>Wykonawca oświadcza, że posiada status mikroprzedsiębiorcy /małego przedsiębiorcy/średniego przedsiębiorcy/dużego przedsiębiorcy - w rozumieniu ustawy z dnia 8 marca 2013 r. o przeciwdziałaniu nadmiernym opóźnieniom w transakcjach handlowych</w:t>
      </w:r>
    </w:p>
    <w:p w14:paraId="24465097" w14:textId="32F12A63" w:rsidR="007542D2" w:rsidRPr="002C7F5F" w:rsidRDefault="0058340B" w:rsidP="0058340B">
      <w:pPr>
        <w:pStyle w:val="IIUstp"/>
      </w:pPr>
      <w:r>
        <w:t xml:space="preserve"> </w:t>
      </w:r>
      <w:r>
        <w:t>Wykonawca niniejszym oświadcza, że na dzień zawarcia Umowy nie jest podmiotem objętym sankcjami, nałożonymi w związku z wspieraniem działań destabilizujących sytuację na Ukrainie.</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7" w:name="_Ref333781144"/>
      <w:bookmarkEnd w:id="4"/>
    </w:p>
    <w:bookmarkEnd w:id="7"/>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8"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9"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9"/>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lastRenderedPageBreak/>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10"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10"/>
      <w:r w:rsidR="00026367" w:rsidRPr="00281145">
        <w:t>”</w:t>
      </w:r>
      <w:r w:rsidR="009F3D66">
        <w:t xml:space="preserve">. </w:t>
      </w:r>
    </w:p>
    <w:p w14:paraId="31C5D65B" w14:textId="0B3F5F23" w:rsidR="00ED3EBE" w:rsidRPr="00281145" w:rsidRDefault="00ED3EBE" w:rsidP="00C82D5E">
      <w:pPr>
        <w:pStyle w:val="IIUstp"/>
        <w:ind w:right="-2"/>
      </w:pPr>
      <w:bookmarkStart w:id="11" w:name="_Ref333800222"/>
      <w:r w:rsidRPr="00281145">
        <w:t xml:space="preserve">Jeżeli w toku czynności odbioru </w:t>
      </w:r>
      <w:r w:rsidR="00526246">
        <w:t xml:space="preserve">robót budowlanych </w:t>
      </w:r>
      <w:r w:rsidRPr="00281145">
        <w:t>zostaną stwierdzone wady:</w:t>
      </w:r>
      <w:bookmarkEnd w:id="11"/>
    </w:p>
    <w:p w14:paraId="0DBD319C" w14:textId="33AD43CA" w:rsidR="00ED3EBE" w:rsidRPr="00281145" w:rsidRDefault="00ED3EBE" w:rsidP="00AB2411">
      <w:pPr>
        <w:pStyle w:val="IIInumerowanie"/>
        <w:numPr>
          <w:ilvl w:val="0"/>
          <w:numId w:val="27"/>
        </w:numPr>
        <w:ind w:left="709" w:right="-2" w:hanging="283"/>
        <w:rPr>
          <w:color w:val="auto"/>
        </w:rPr>
      </w:pPr>
      <w:bookmarkStart w:id="12"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2"/>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3"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3"/>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4" w:name="_Ref333789134"/>
      <w:bookmarkEnd w:id="8"/>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5" w:name="_Ref333785741"/>
      <w:bookmarkEnd w:id="14"/>
    </w:p>
    <w:bookmarkEnd w:id="15"/>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6"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6"/>
    </w:p>
    <w:p w14:paraId="460CBF28" w14:textId="77777777" w:rsidR="00FA7E02" w:rsidRPr="00281145" w:rsidRDefault="00FA7E02" w:rsidP="00756B6D">
      <w:pPr>
        <w:pStyle w:val="IIUstp"/>
        <w:numPr>
          <w:ilvl w:val="0"/>
          <w:numId w:val="7"/>
        </w:numPr>
      </w:pPr>
      <w:bookmarkStart w:id="17"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7"/>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2C7F5F">
        <w:lastRenderedPageBreak/>
        <w:t>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8" w:name="_Ref333781572"/>
    </w:p>
    <w:bookmarkEnd w:id="18"/>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9"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9"/>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w:t>
      </w:r>
      <w:r w:rsidRPr="00281145">
        <w:rPr>
          <w:color w:val="auto"/>
        </w:rPr>
        <w:lastRenderedPageBreak/>
        <w:t>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lastRenderedPageBreak/>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w:t>
      </w:r>
      <w:r w:rsidRPr="001D5A20">
        <w:rPr>
          <w:rFonts w:ascii="Arial" w:hAnsi="Arial" w:cs="Arial"/>
          <w:sz w:val="22"/>
          <w:szCs w:val="22"/>
        </w:rPr>
        <w:lastRenderedPageBreak/>
        <w:t xml:space="preserve">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20" w:name="_Ref333793229"/>
    </w:p>
    <w:bookmarkEnd w:id="20"/>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1" w:name="_Ref333792191"/>
      <w:r w:rsidRPr="00281145">
        <w:t>Wykonawca oświadcza, iż:</w:t>
      </w:r>
      <w:bookmarkEnd w:id="21"/>
    </w:p>
    <w:p w14:paraId="1945AA8A" w14:textId="77777777" w:rsidR="00FA7E02" w:rsidRPr="00281145" w:rsidRDefault="00FA7E02" w:rsidP="00AB2411">
      <w:pPr>
        <w:pStyle w:val="IIInumerowanie"/>
        <w:numPr>
          <w:ilvl w:val="0"/>
          <w:numId w:val="23"/>
        </w:numPr>
        <w:rPr>
          <w:bCs/>
          <w:color w:val="auto"/>
        </w:rPr>
      </w:pPr>
      <w:bookmarkStart w:id="22"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2"/>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w:t>
      </w:r>
      <w:r w:rsidRPr="00281145">
        <w:rPr>
          <w:color w:val="auto"/>
        </w:rPr>
        <w:lastRenderedPageBreak/>
        <w:t>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3"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3"/>
    </w:p>
    <w:p w14:paraId="378A6221" w14:textId="77777777" w:rsidR="00FA7E02" w:rsidRPr="00281145" w:rsidRDefault="00FA7E02" w:rsidP="00AB2411">
      <w:pPr>
        <w:pStyle w:val="IIUstp"/>
        <w:numPr>
          <w:ilvl w:val="0"/>
          <w:numId w:val="16"/>
        </w:numPr>
      </w:pPr>
      <w:bookmarkStart w:id="24"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4"/>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5" w:name="_Ref333785825"/>
    </w:p>
    <w:p w14:paraId="58D8E69B" w14:textId="77777777" w:rsidR="00E71AF9" w:rsidRPr="00281145" w:rsidRDefault="00061993" w:rsidP="00742C40">
      <w:pPr>
        <w:pStyle w:val="IIIXPodtytu"/>
        <w:spacing w:after="120"/>
        <w:ind w:left="3540" w:right="-284"/>
        <w:jc w:val="both"/>
      </w:pPr>
      <w:bookmarkStart w:id="26" w:name="_Ref333787697"/>
      <w:bookmarkEnd w:id="25"/>
      <w:r w:rsidRPr="00281145">
        <w:t xml:space="preserve">        </w:t>
      </w:r>
      <w:r w:rsidR="00742C40" w:rsidRPr="00281145">
        <w:t>K</w:t>
      </w:r>
      <w:r w:rsidR="00D31F26" w:rsidRPr="00281145">
        <w:t>ary umowne</w:t>
      </w:r>
      <w:bookmarkStart w:id="27"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8" w:name="_Ref333800013"/>
      <w:bookmarkEnd w:id="27"/>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640E81FD" w14:textId="77777777" w:rsidR="00D31F26" w:rsidRPr="00281145" w:rsidRDefault="00D31F26" w:rsidP="00AB2411">
      <w:pPr>
        <w:pStyle w:val="IIInumerowanie"/>
        <w:numPr>
          <w:ilvl w:val="0"/>
          <w:numId w:val="30"/>
        </w:numPr>
        <w:ind w:right="-2"/>
        <w:rPr>
          <w:color w:val="auto"/>
        </w:rPr>
      </w:pPr>
      <w:bookmarkStart w:id="29"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9"/>
    </w:p>
    <w:p w14:paraId="1B9DB043" w14:textId="77777777" w:rsidR="00D31F26" w:rsidRPr="00281145" w:rsidRDefault="00D31F26" w:rsidP="00AB2411">
      <w:pPr>
        <w:pStyle w:val="IIInumerowanie"/>
        <w:numPr>
          <w:ilvl w:val="0"/>
          <w:numId w:val="30"/>
        </w:numPr>
        <w:ind w:right="-2"/>
        <w:rPr>
          <w:color w:val="auto"/>
        </w:rPr>
      </w:pPr>
      <w:bookmarkStart w:id="30"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30"/>
    </w:p>
    <w:p w14:paraId="0B7FBCA8" w14:textId="05D28315" w:rsidR="00D31F26" w:rsidRPr="00281145" w:rsidRDefault="00D31F26" w:rsidP="00AB2411">
      <w:pPr>
        <w:pStyle w:val="IIInumerowanie"/>
        <w:numPr>
          <w:ilvl w:val="0"/>
          <w:numId w:val="30"/>
        </w:numPr>
        <w:ind w:right="-2"/>
        <w:rPr>
          <w:color w:val="auto"/>
        </w:rPr>
      </w:pPr>
      <w:bookmarkStart w:id="31"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1"/>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2"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2"/>
    </w:p>
    <w:p w14:paraId="0FF31738" w14:textId="77777777" w:rsidR="00FA7E02" w:rsidRPr="00281145" w:rsidRDefault="00FA7E02" w:rsidP="00AB2411">
      <w:pPr>
        <w:pStyle w:val="IParagraf"/>
        <w:numPr>
          <w:ilvl w:val="0"/>
          <w:numId w:val="25"/>
        </w:numPr>
      </w:pPr>
    </w:p>
    <w:bookmarkEnd w:id="26"/>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w:t>
      </w:r>
      <w:r w:rsidRPr="00281145">
        <w:lastRenderedPageBreak/>
        <w:t xml:space="preserve">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3"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3"/>
    </w:p>
    <w:p w14:paraId="6DBC02F1" w14:textId="77777777" w:rsidR="00FA7E02" w:rsidRPr="00281145" w:rsidRDefault="00FA7E02" w:rsidP="00AB2411">
      <w:pPr>
        <w:pStyle w:val="IIUstp"/>
        <w:numPr>
          <w:ilvl w:val="0"/>
          <w:numId w:val="17"/>
        </w:numPr>
      </w:pPr>
      <w:bookmarkStart w:id="34"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4"/>
      <w:r w:rsidRPr="00281145">
        <w:t xml:space="preserve"> </w:t>
      </w:r>
    </w:p>
    <w:p w14:paraId="60C9BA3B" w14:textId="03638C8C" w:rsidR="00FA7E02" w:rsidRPr="00281145" w:rsidRDefault="00FA7E02" w:rsidP="00AB2411">
      <w:pPr>
        <w:pStyle w:val="IIUstp"/>
        <w:numPr>
          <w:ilvl w:val="0"/>
          <w:numId w:val="17"/>
        </w:numPr>
      </w:pPr>
      <w:bookmarkStart w:id="35"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5"/>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 xml:space="preserve">Wykonawca jest odpowiedzialny wobec Zamawiającego za wady i usterki w przedmiocie umowy </w:t>
      </w:r>
      <w:r w:rsidRPr="00281145">
        <w:lastRenderedPageBreak/>
        <w:t>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6" w:name="_Ref333802339"/>
      <w:r w:rsidRPr="00281145">
        <w:t>W przypadku gdy przedmiot umowy został wykonany niezgodnie z umową i przedmiotem zamówienia, Zamawiający, wedle własnego wyboru, może:</w:t>
      </w:r>
      <w:bookmarkEnd w:id="36"/>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7"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7"/>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8" w:name="_Ref333936927"/>
      <w:bookmarkStart w:id="39" w:name="_Ref333793842"/>
    </w:p>
    <w:bookmarkEnd w:id="38"/>
    <w:p w14:paraId="54882C1F" w14:textId="77777777" w:rsidR="00295AFE" w:rsidRPr="00281145" w:rsidRDefault="00295AFE" w:rsidP="00DA5918">
      <w:pPr>
        <w:pStyle w:val="IIIXPodtytu"/>
        <w:spacing w:after="120"/>
      </w:pPr>
      <w:r w:rsidRPr="00281145">
        <w:t>Zabezpieczenie należytego wykonania umowy</w:t>
      </w:r>
      <w:bookmarkStart w:id="40" w:name="_Ref333704906"/>
    </w:p>
    <w:p w14:paraId="0711721D" w14:textId="11377A88"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534A7C">
        <w:t>15 000,00</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40"/>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1"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1"/>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2"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2"/>
      <w:r w:rsidRPr="00281145">
        <w:t xml:space="preserve"> </w:t>
      </w:r>
    </w:p>
    <w:p w14:paraId="0B551B41" w14:textId="77777777" w:rsidR="00BF4079" w:rsidRPr="00281145" w:rsidRDefault="00295AFE" w:rsidP="00742C40">
      <w:pPr>
        <w:pStyle w:val="IIUstp"/>
      </w:pPr>
      <w:bookmarkStart w:id="43" w:name="_Ref333699979"/>
      <w:r w:rsidRPr="00281145">
        <w:lastRenderedPageBreak/>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3"/>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9"/>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4"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4"/>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lastRenderedPageBreak/>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lastRenderedPageBreak/>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5" w:name="_Ref333782342"/>
      <w:r w:rsidRPr="00281145">
        <w:t xml:space="preserve">– Oferta </w:t>
      </w:r>
      <w:r w:rsidR="00FC2CB5" w:rsidRPr="00281145">
        <w:t>Wykonawcy</w:t>
      </w:r>
      <w:bookmarkEnd w:id="45"/>
      <w:r w:rsidR="00E90047" w:rsidRPr="00281145">
        <w:t>.</w:t>
      </w:r>
    </w:p>
    <w:p w14:paraId="72E89511" w14:textId="77777777" w:rsidR="00FA7E02" w:rsidRPr="00281145" w:rsidRDefault="00FA7E02" w:rsidP="00756B6D">
      <w:pPr>
        <w:pStyle w:val="IIIZaczniki"/>
        <w:numPr>
          <w:ilvl w:val="0"/>
          <w:numId w:val="4"/>
        </w:numPr>
        <w:rPr>
          <w:b/>
        </w:rPr>
      </w:pPr>
      <w:bookmarkStart w:id="46" w:name="_Ref333781107"/>
      <w:r w:rsidRPr="00281145">
        <w:t>– Wzór zlecenia uszczegółowiającego.</w:t>
      </w:r>
      <w:bookmarkEnd w:id="46"/>
    </w:p>
    <w:p w14:paraId="5FABB073" w14:textId="77777777" w:rsidR="00FA7E02" w:rsidRPr="00281145" w:rsidRDefault="00FA7E02" w:rsidP="00756B6D">
      <w:pPr>
        <w:pStyle w:val="IIIZaczniki"/>
        <w:numPr>
          <w:ilvl w:val="0"/>
          <w:numId w:val="4"/>
        </w:numPr>
        <w:rPr>
          <w:b/>
        </w:rPr>
      </w:pPr>
      <w:bookmarkStart w:id="47" w:name="_Ref333782487"/>
      <w:r w:rsidRPr="00281145">
        <w:t>– Specyfikacja techniczna.</w:t>
      </w:r>
      <w:bookmarkEnd w:id="47"/>
    </w:p>
    <w:p w14:paraId="589D0E9B" w14:textId="77777777" w:rsidR="00FA7E02" w:rsidRPr="00281145" w:rsidRDefault="00FA7E02" w:rsidP="00756B6D">
      <w:pPr>
        <w:pStyle w:val="IIIZaczniki"/>
        <w:numPr>
          <w:ilvl w:val="0"/>
          <w:numId w:val="4"/>
        </w:numPr>
        <w:rPr>
          <w:b/>
        </w:rPr>
      </w:pPr>
      <w:bookmarkStart w:id="48" w:name="_Ref333793743"/>
      <w:r w:rsidRPr="00281145">
        <w:t xml:space="preserve">– Wykaz osób ze strony Wykonawcy mających dostęp do informacji, o których mowa w </w:t>
      </w:r>
      <w:r w:rsidR="00CE39E6" w:rsidRPr="00281145">
        <w:t>§12</w:t>
      </w:r>
      <w:r w:rsidRPr="00281145">
        <w:t>.</w:t>
      </w:r>
      <w:bookmarkEnd w:id="48"/>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36BC92F3"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8340B">
          <w:rPr>
            <w:noProof/>
          </w:rPr>
          <w:t>5</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F337" w14:textId="3CDAA87B" w:rsidR="00894B7B" w:rsidRDefault="00894B7B" w:rsidP="00A15634">
    <w:pPr>
      <w:pStyle w:val="Nagwek"/>
      <w:jc w:val="right"/>
    </w:pPr>
    <w:r w:rsidRPr="00017C3A">
      <w:rPr>
        <w:rFonts w:ascii="Arial" w:hAnsi="Arial" w:cs="Arial"/>
        <w:b/>
        <w:sz w:val="22"/>
        <w:szCs w:val="22"/>
      </w:rPr>
      <w:t xml:space="preserve">Załącznik nr 5 do SWZ postępowanie nr </w:t>
    </w:r>
    <w:r w:rsidR="00B30E10" w:rsidRPr="00B30E10">
      <w:rPr>
        <w:rFonts w:ascii="Arial" w:hAnsi="Arial" w:cs="Arial"/>
        <w:b/>
        <w:sz w:val="22"/>
        <w:szCs w:val="22"/>
      </w:rPr>
      <w:t>POST/DYS/OLD/GZ/02892/2024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34A7C"/>
    <w:rsid w:val="005437AE"/>
    <w:rsid w:val="005504B6"/>
    <w:rsid w:val="00553878"/>
    <w:rsid w:val="005570A5"/>
    <w:rsid w:val="00561E9E"/>
    <w:rsid w:val="005743B5"/>
    <w:rsid w:val="00577593"/>
    <w:rsid w:val="0058100F"/>
    <w:rsid w:val="0058340B"/>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95F0D"/>
    <w:rsid w:val="009A26D5"/>
    <w:rsid w:val="009A7ACD"/>
    <w:rsid w:val="009B4BBA"/>
    <w:rsid w:val="009B77FD"/>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0E10"/>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(3).docx</dmsv2BaseFileName>
    <dmsv2BaseDisplayName xmlns="http://schemas.microsoft.com/sharepoint/v3">Załącznik nr 5 do SWZ - umowa suk.wyk.dok.proj.i rb.bud. przyłączy lub linii nN po zm. v. 3.1 RE01-08 (3)</dmsv2BaseDisplayName>
    <dmsv2SWPP2ObjectNumber xmlns="http://schemas.microsoft.com/sharepoint/v3">POST/DYS/OLD/GZ/02892/2024                        </dmsv2SWPP2ObjectNumber>
    <dmsv2SWPP2SumMD5 xmlns="http://schemas.microsoft.com/sharepoint/v3">36d9c43c25482236993ba0b9154f45ac</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20693226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ZKQJDXMXURTQ-1688516315-295</_dlc_DocId>
    <_dlc_DocIdUrl xmlns="a19cb1c7-c5c7-46d4-85ae-d83685407bba">
      <Url>https://swpp2.dms.gkpge.pl/sites/31/_layouts/15/DocIdRedir.aspx?ID=ZKQJDXMXURTQ-1688516315-295</Url>
      <Description>ZKQJDXMXURTQ-1688516315-295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2.xml><?xml version="1.0" encoding="utf-8"?>
<ds:datastoreItem xmlns:ds="http://schemas.openxmlformats.org/officeDocument/2006/customXml" ds:itemID="{F6E8E04C-9515-4E49-9888-244EEFFB90BE}"/>
</file>

<file path=customXml/itemProps3.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6370312D-5C8D-4F11-B891-82C9B2DE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10501</Words>
  <Characters>63011</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9</cp:revision>
  <cp:lastPrinted>2023-12-11T08:58:00Z</cp:lastPrinted>
  <dcterms:created xsi:type="dcterms:W3CDTF">2024-02-05T06:11:00Z</dcterms:created>
  <dcterms:modified xsi:type="dcterms:W3CDTF">2024-10-03T09:25:00Z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9baeff2b-cfe7-40e4-90fc-a4023c1d705b</vt:lpwstr>
  </property>
</Properties>
</file>