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4163B0"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Pr="004163B0"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163B0">
        <w:rPr>
          <w:rFonts w:asciiTheme="minorHAnsi" w:hAnsiTheme="minorHAnsi" w:cstheme="minorHAnsi"/>
          <w:b/>
          <w:sz w:val="20"/>
        </w:rPr>
        <w:t>Określenie przedmiotu za</w:t>
      </w:r>
      <w:r w:rsidR="008356FF" w:rsidRPr="004163B0">
        <w:rPr>
          <w:rFonts w:asciiTheme="minorHAnsi" w:hAnsiTheme="minorHAnsi" w:cstheme="minorHAnsi"/>
          <w:b/>
          <w:sz w:val="20"/>
        </w:rPr>
        <w:t>mówienia</w:t>
      </w:r>
      <w:r w:rsidR="006376AA" w:rsidRPr="004163B0">
        <w:rPr>
          <w:rFonts w:asciiTheme="minorHAnsi" w:hAnsiTheme="minorHAnsi" w:cstheme="minorHAnsi"/>
          <w:b/>
          <w:sz w:val="20"/>
        </w:rPr>
        <w:t xml:space="preserve"> </w:t>
      </w:r>
    </w:p>
    <w:p w14:paraId="0ED42EEE" w14:textId="1B3B40E8" w:rsidR="00245C84" w:rsidRPr="00245C84" w:rsidRDefault="005A7035" w:rsidP="007F0594">
      <w:pPr>
        <w:pStyle w:val="Akapitzlist"/>
        <w:numPr>
          <w:ilvl w:val="1"/>
          <w:numId w:val="2"/>
        </w:numPr>
        <w:spacing w:before="120" w:line="276" w:lineRule="auto"/>
        <w:outlineLvl w:val="0"/>
        <w:rPr>
          <w:rFonts w:asciiTheme="minorHAnsi" w:hAnsiTheme="minorHAnsi" w:cstheme="minorHAnsi"/>
          <w:b/>
          <w:i/>
          <w:sz w:val="20"/>
        </w:rPr>
      </w:pPr>
      <w:r w:rsidRPr="00245C84">
        <w:rPr>
          <w:rFonts w:asciiTheme="minorHAnsi" w:hAnsiTheme="minorHAnsi" w:cstheme="minorHAnsi"/>
          <w:sz w:val="20"/>
        </w:rPr>
        <w:t>Przedmiotem postępowania zakupowego j</w:t>
      </w:r>
      <w:r w:rsidR="00821178" w:rsidRPr="00245C84">
        <w:rPr>
          <w:rFonts w:asciiTheme="minorHAnsi" w:hAnsiTheme="minorHAnsi" w:cstheme="minorHAnsi"/>
          <w:sz w:val="20"/>
        </w:rPr>
        <w:t xml:space="preserve">est </w:t>
      </w:r>
      <w:r w:rsidR="00E34752" w:rsidRPr="00245C84">
        <w:rPr>
          <w:rFonts w:asciiTheme="minorHAnsi" w:hAnsiTheme="minorHAnsi" w:cstheme="minorHAnsi"/>
          <w:sz w:val="20"/>
        </w:rPr>
        <w:t xml:space="preserve">opracowanie dokumentacji </w:t>
      </w:r>
      <w:r w:rsidR="00474FFF" w:rsidRPr="00245C84">
        <w:rPr>
          <w:rFonts w:asciiTheme="minorHAnsi" w:hAnsiTheme="minorHAnsi" w:cstheme="minorHAnsi"/>
          <w:sz w:val="20"/>
        </w:rPr>
        <w:t>projektowej w branży elektroenergetyczne</w:t>
      </w:r>
      <w:r w:rsidR="008B2790" w:rsidRPr="00245C84">
        <w:rPr>
          <w:rFonts w:asciiTheme="minorHAnsi" w:hAnsiTheme="minorHAnsi" w:cstheme="minorHAnsi"/>
          <w:sz w:val="20"/>
        </w:rPr>
        <w:t>j na terenie działania OŁD w RE</w:t>
      </w:r>
      <w:r w:rsidR="00474FFF" w:rsidRPr="00245C84">
        <w:rPr>
          <w:rFonts w:asciiTheme="minorHAnsi" w:hAnsiTheme="minorHAnsi" w:cstheme="minorHAnsi"/>
          <w:sz w:val="20"/>
        </w:rPr>
        <w:t xml:space="preserve"> </w:t>
      </w:r>
      <w:r w:rsidR="00776F0B" w:rsidRPr="00245C84">
        <w:rPr>
          <w:rFonts w:asciiTheme="minorHAnsi" w:hAnsiTheme="minorHAnsi" w:cstheme="minorHAnsi"/>
          <w:b/>
          <w:sz w:val="20"/>
        </w:rPr>
        <w:t xml:space="preserve">Żyrardów </w:t>
      </w:r>
      <w:r w:rsidR="008B2790" w:rsidRPr="00245C84">
        <w:rPr>
          <w:rFonts w:asciiTheme="minorHAnsi" w:hAnsiTheme="minorHAnsi" w:cstheme="minorHAnsi"/>
          <w:sz w:val="20"/>
        </w:rPr>
        <w:t xml:space="preserve">dla zadania </w:t>
      </w:r>
      <w:r w:rsidR="00574BD8" w:rsidRPr="00245C84">
        <w:rPr>
          <w:rFonts w:asciiTheme="minorHAnsi" w:hAnsiTheme="minorHAnsi" w:cstheme="minorHAnsi"/>
          <w:sz w:val="20"/>
        </w:rPr>
        <w:t>pn.</w:t>
      </w:r>
      <w:r w:rsidR="0079055F">
        <w:rPr>
          <w:rFonts w:asciiTheme="minorHAnsi" w:hAnsiTheme="minorHAnsi" w:cstheme="minorHAnsi"/>
          <w:sz w:val="20"/>
        </w:rPr>
        <w:t>”</w:t>
      </w:r>
      <w:r w:rsidR="00B75C06" w:rsidRPr="00B75C06">
        <w:t xml:space="preserve"> </w:t>
      </w:r>
      <w:r w:rsidR="007F0594" w:rsidRPr="007F0594">
        <w:rPr>
          <w:rFonts w:asciiTheme="minorHAnsi" w:hAnsiTheme="minorHAnsi" w:cstheme="minorHAnsi"/>
          <w:b/>
          <w:sz w:val="20"/>
        </w:rPr>
        <w:t>Zasilanie budynku mieszkalnego w miejscowości Adamów ul. Nowiny dz. n</w:t>
      </w:r>
      <w:r w:rsidR="007F0594">
        <w:rPr>
          <w:rFonts w:asciiTheme="minorHAnsi" w:hAnsiTheme="minorHAnsi" w:cstheme="minorHAnsi"/>
          <w:b/>
          <w:sz w:val="20"/>
        </w:rPr>
        <w:t xml:space="preserve">r 228/1 </w:t>
      </w:r>
      <w:r w:rsidR="007F0594" w:rsidRPr="007F0594">
        <w:rPr>
          <w:rFonts w:asciiTheme="minorHAnsi" w:hAnsiTheme="minorHAnsi" w:cstheme="minorHAnsi"/>
          <w:b/>
          <w:sz w:val="20"/>
        </w:rPr>
        <w:t>gm. Radziejowice</w:t>
      </w:r>
      <w:r w:rsidR="003F5D7F">
        <w:rPr>
          <w:rFonts w:asciiTheme="minorHAnsi" w:hAnsiTheme="minorHAnsi" w:cstheme="minorHAnsi"/>
          <w:b/>
          <w:sz w:val="20"/>
        </w:rPr>
        <w:t>”</w:t>
      </w:r>
      <w:r w:rsidR="00C54C62" w:rsidRPr="003F5D7F">
        <w:rPr>
          <w:rFonts w:asciiTheme="minorHAnsi" w:hAnsiTheme="minorHAnsi" w:cstheme="minorHAnsi"/>
          <w:b/>
          <w:sz w:val="20"/>
        </w:rPr>
        <w:t>.</w:t>
      </w:r>
    </w:p>
    <w:p w14:paraId="5B607434" w14:textId="247B5774" w:rsidR="00821178" w:rsidRPr="00245C84" w:rsidRDefault="008B2790" w:rsidP="00E32156">
      <w:pPr>
        <w:pStyle w:val="Akapitzlist"/>
        <w:numPr>
          <w:ilvl w:val="1"/>
          <w:numId w:val="2"/>
        </w:numPr>
        <w:spacing w:before="120" w:line="276" w:lineRule="auto"/>
        <w:ind w:hanging="436"/>
        <w:outlineLvl w:val="0"/>
        <w:rPr>
          <w:rFonts w:asciiTheme="minorHAnsi" w:hAnsiTheme="minorHAnsi" w:cstheme="minorHAnsi"/>
          <w:sz w:val="20"/>
          <w:u w:val="single"/>
        </w:rPr>
      </w:pPr>
      <w:r w:rsidRPr="00245C84">
        <w:rPr>
          <w:rFonts w:asciiTheme="minorHAnsi" w:hAnsiTheme="minorHAnsi" w:cstheme="minorHAnsi"/>
          <w:sz w:val="20"/>
        </w:rPr>
        <w:t xml:space="preserve"> –</w:t>
      </w:r>
      <w:r w:rsidR="00474FFF" w:rsidRPr="00245C84">
        <w:rPr>
          <w:rFonts w:asciiTheme="minorHAnsi" w:hAnsiTheme="minorHAnsi" w:cstheme="minorHAnsi"/>
          <w:sz w:val="20"/>
        </w:rPr>
        <w:t xml:space="preserve"> zgodnie z załącznikiem nr </w:t>
      </w:r>
      <w:r w:rsidR="00474FFF" w:rsidRPr="00245C84">
        <w:rPr>
          <w:rFonts w:asciiTheme="minorHAnsi" w:hAnsiTheme="minorHAnsi" w:cstheme="minorHAnsi"/>
          <w:b/>
          <w:sz w:val="20"/>
        </w:rPr>
        <w:t>1.</w:t>
      </w:r>
      <w:r w:rsidR="004D00F1" w:rsidRPr="00245C84">
        <w:rPr>
          <w:rFonts w:asciiTheme="minorHAnsi" w:hAnsiTheme="minorHAnsi" w:cstheme="minorHAnsi"/>
          <w:b/>
          <w:sz w:val="20"/>
        </w:rPr>
        <w:t>7</w:t>
      </w:r>
      <w:r w:rsidR="00474FFF" w:rsidRPr="00245C84">
        <w:rPr>
          <w:rFonts w:asciiTheme="minorHAnsi" w:hAnsiTheme="minorHAnsi" w:cstheme="minorHAnsi"/>
          <w:b/>
          <w:sz w:val="20"/>
        </w:rPr>
        <w:t xml:space="preserve"> do SWZ</w:t>
      </w:r>
      <w:r w:rsidR="00BC792F" w:rsidRPr="00245C84">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28A2E2D"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8B6378">
        <w:rPr>
          <w:rFonts w:ascii="Calibri" w:hAnsi="Calibri" w:cs="Calibri"/>
          <w:sz w:val="20"/>
        </w:rPr>
        <w:t xml:space="preserve"> z PGE Dystrybucja </w:t>
      </w:r>
      <w:r w:rsidR="003C2B2F">
        <w:rPr>
          <w:rFonts w:ascii="Calibri" w:hAnsi="Calibri" w:cs="Calibri"/>
          <w:sz w:val="20"/>
        </w:rPr>
        <w:t xml:space="preserve">S.A </w:t>
      </w:r>
      <w:r w:rsidR="00BC792F">
        <w:rPr>
          <w:rFonts w:ascii="Calibri" w:hAnsi="Calibri" w:cs="Calibri"/>
          <w:sz w:val="20"/>
        </w:rPr>
        <w:t>.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78583F"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78583F">
        <w:rPr>
          <w:rFonts w:ascii="Calibri" w:hAnsi="Calibri" w:cs="Calibri"/>
          <w:b/>
          <w:sz w:val="20"/>
        </w:rPr>
        <w:t xml:space="preserve">Termin realizacji </w:t>
      </w:r>
      <w:r w:rsidR="005A7035" w:rsidRPr="0078583F">
        <w:rPr>
          <w:rFonts w:ascii="Calibri" w:hAnsi="Calibri" w:cs="Calibri"/>
          <w:b/>
          <w:sz w:val="20"/>
        </w:rPr>
        <w:t>zamówienia</w:t>
      </w:r>
    </w:p>
    <w:p w14:paraId="78B46CBA" w14:textId="7B49456C" w:rsidR="00BC792F" w:rsidRPr="00BC792F" w:rsidRDefault="00776F0B" w:rsidP="00A473BE">
      <w:pPr>
        <w:pStyle w:val="Akapitzlist"/>
        <w:spacing w:before="120" w:line="276" w:lineRule="auto"/>
        <w:ind w:left="284"/>
        <w:outlineLvl w:val="0"/>
        <w:rPr>
          <w:rFonts w:ascii="Calibri" w:hAnsi="Calibri" w:cs="Calibri"/>
          <w:b/>
          <w:sz w:val="20"/>
        </w:rPr>
      </w:pPr>
      <w:r w:rsidRPr="0078583F">
        <w:rPr>
          <w:rFonts w:ascii="Calibri" w:hAnsi="Calibri" w:cs="Calibri"/>
          <w:b/>
          <w:sz w:val="20"/>
        </w:rPr>
        <w:t>1</w:t>
      </w:r>
      <w:r w:rsidR="0026622D" w:rsidRPr="0078583F">
        <w:rPr>
          <w:rFonts w:ascii="Calibri" w:hAnsi="Calibri" w:cs="Calibri"/>
          <w:b/>
          <w:sz w:val="20"/>
        </w:rPr>
        <w:t>2</w:t>
      </w:r>
      <w:r w:rsidRPr="0078583F">
        <w:rPr>
          <w:rFonts w:ascii="Calibri" w:hAnsi="Calibri" w:cs="Calibri"/>
          <w:b/>
          <w:sz w:val="20"/>
        </w:rPr>
        <w:t xml:space="preserve"> miesięcy </w:t>
      </w:r>
      <w:r w:rsidR="00474FFF" w:rsidRPr="0078583F">
        <w:rPr>
          <w:rFonts w:ascii="Calibri" w:hAnsi="Calibri" w:cs="Calibri"/>
          <w:b/>
          <w:sz w:val="20"/>
        </w:rPr>
        <w:t xml:space="preserve"> od dnia </w:t>
      </w:r>
      <w:r w:rsidR="00474FFF" w:rsidRPr="00474FFF">
        <w:rPr>
          <w:rFonts w:ascii="Calibri" w:hAnsi="Calibri" w:cs="Calibri"/>
          <w:b/>
          <w:sz w:val="20"/>
        </w:rPr>
        <w:t>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w:t>
      </w:r>
      <w:r w:rsidR="00574BD8">
        <w:rPr>
          <w:rFonts w:asciiTheme="minorHAnsi" w:hAnsiTheme="minorHAnsi" w:cstheme="minorHAnsi"/>
          <w:sz w:val="20"/>
        </w:rPr>
        <w:lastRenderedPageBreak/>
        <w:t>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005A20E4" w:rsidRPr="00EC1CD7">
        <w:rPr>
          <w:rFonts w:asciiTheme="minorHAnsi" w:hAnsiTheme="minorHAnsi" w:cstheme="minorHAnsi"/>
          <w:bCs/>
          <w:iCs/>
          <w:color w:val="00B0F0"/>
          <w:sz w:val="20"/>
        </w:rPr>
        <w:t xml:space="preserve">Wzór umowy o udostępnieniu nieruchomości </w:t>
      </w:r>
      <w:r w:rsidR="005A20E4" w:rsidRPr="00EC1CD7">
        <w:rPr>
          <w:rFonts w:asciiTheme="minorHAnsi" w:hAnsiTheme="minorHAnsi" w:cstheme="minorHAnsi"/>
          <w:color w:val="00B0F0"/>
          <w:sz w:val="20"/>
        </w:rPr>
        <w:t>w celu budowy urządzeń energetycznych</w:t>
      </w:r>
    </w:p>
    <w:p w14:paraId="0C8BE382" w14:textId="59906DD1"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5A20E4">
        <w:rPr>
          <w:rFonts w:asciiTheme="minorHAnsi" w:hAnsiTheme="minorHAnsi" w:cstheme="minorHAnsi"/>
          <w:color w:val="00B0F0"/>
          <w:sz w:val="20"/>
        </w:rPr>
        <w:t xml:space="preserve">Wzór </w:t>
      </w:r>
      <w:r w:rsidR="005A20E4" w:rsidRPr="005A20E4">
        <w:rPr>
          <w:rFonts w:asciiTheme="minorHAnsi" w:hAnsiTheme="minorHAnsi" w:cstheme="minorHAnsi"/>
          <w:color w:val="00B0F0"/>
          <w:sz w:val="20"/>
        </w:rPr>
        <w:t>porozumienia o ustanowienie nieodpłatnej służebności przesyłu</w:t>
      </w:r>
    </w:p>
    <w:p w14:paraId="6DA3A0FB" w14:textId="7DF2FB0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005A20E4" w:rsidRPr="005A20E4">
        <w:rPr>
          <w:rFonts w:asciiTheme="minorHAnsi" w:hAnsiTheme="minorHAnsi" w:cstheme="minorHAnsi"/>
          <w:color w:val="00B0F0"/>
          <w:sz w:val="20"/>
        </w:rPr>
        <w:t>Wzór porozumienia o ustanowienie odpłatnej służebności przesyłu</w:t>
      </w:r>
    </w:p>
    <w:p w14:paraId="3963A436" w14:textId="2FEA6B00" w:rsidR="00DA054A" w:rsidRPr="00D0430A" w:rsidRDefault="00DA054A" w:rsidP="00DA054A">
      <w:pPr>
        <w:rPr>
          <w:rFonts w:asciiTheme="minorHAnsi" w:hAnsiTheme="minorHAnsi" w:cstheme="minorHAnsi"/>
          <w:sz w:val="20"/>
        </w:rPr>
      </w:pPr>
      <w:r w:rsidRPr="00D0430A">
        <w:rPr>
          <w:rFonts w:asciiTheme="minorHAnsi" w:hAnsiTheme="minorHAnsi" w:cstheme="minorHAnsi"/>
          <w:sz w:val="20"/>
        </w:rPr>
        <w:t xml:space="preserve">Załącznik nr 1.6 – </w:t>
      </w:r>
      <w:r w:rsidR="00D0430A" w:rsidRPr="00D0430A">
        <w:rPr>
          <w:rFonts w:asciiTheme="minorHAnsi" w:hAnsiTheme="minorHAnsi" w:cstheme="minorHAnsi"/>
          <w:color w:val="00B0F0"/>
          <w:sz w:val="20"/>
        </w:rPr>
        <w:t xml:space="preserve">Wytyczne </w:t>
      </w:r>
      <w:r w:rsidR="00D0430A">
        <w:rPr>
          <w:rFonts w:asciiTheme="minorHAnsi" w:hAnsiTheme="minorHAnsi" w:cstheme="minorHAnsi"/>
          <w:color w:val="00B0F0"/>
          <w:sz w:val="20"/>
        </w:rPr>
        <w:t xml:space="preserve">dla projektantów – układanie kabli SN </w:t>
      </w:r>
      <w:r w:rsidR="00D0430A" w:rsidRPr="00D0430A">
        <w:rPr>
          <w:rFonts w:asciiTheme="minorHAnsi" w:hAnsiTheme="minorHAnsi" w:cstheme="minorHAnsi"/>
          <w:color w:val="00B0F0"/>
          <w:sz w:val="20"/>
        </w:rPr>
        <w:t xml:space="preserve">metodą płużenia </w:t>
      </w:r>
    </w:p>
    <w:p w14:paraId="26BC479E" w14:textId="53D7745D" w:rsidR="00BC792F" w:rsidRPr="0078583F" w:rsidRDefault="00BC792F" w:rsidP="00DA054A">
      <w:pPr>
        <w:rPr>
          <w:rFonts w:asciiTheme="minorHAnsi" w:hAnsiTheme="minorHAnsi" w:cstheme="minorHAnsi"/>
          <w:sz w:val="20"/>
        </w:rPr>
      </w:pPr>
      <w:r w:rsidRPr="0078583F">
        <w:rPr>
          <w:rFonts w:asciiTheme="minorHAnsi" w:hAnsiTheme="minorHAnsi" w:cstheme="minorHAnsi"/>
          <w:sz w:val="20"/>
        </w:rPr>
        <w:t xml:space="preserve">Załącznik nr 1.7 – </w:t>
      </w:r>
      <w:r w:rsidR="004D00F1" w:rsidRPr="0078583F">
        <w:rPr>
          <w:rFonts w:asciiTheme="minorHAnsi" w:hAnsiTheme="minorHAnsi" w:cstheme="minorHAnsi"/>
          <w:sz w:val="20"/>
        </w:rPr>
        <w:t>Specyfikacja techniczna</w:t>
      </w:r>
    </w:p>
    <w:p w14:paraId="00F5C7D4" w14:textId="07F185AB" w:rsidR="00BC792F" w:rsidRPr="0078583F" w:rsidRDefault="00BC792F" w:rsidP="00DA054A">
      <w:pPr>
        <w:rPr>
          <w:rFonts w:asciiTheme="minorHAnsi" w:hAnsiTheme="minorHAnsi" w:cstheme="minorHAnsi"/>
          <w:sz w:val="20"/>
        </w:rPr>
      </w:pPr>
      <w:r w:rsidRPr="0078583F">
        <w:rPr>
          <w:rFonts w:asciiTheme="minorHAnsi" w:hAnsiTheme="minorHAnsi" w:cstheme="minorHAnsi"/>
          <w:sz w:val="20"/>
        </w:rPr>
        <w:t>Załącznik nr 1.8 – Mapka podgl</w:t>
      </w:r>
      <w:r w:rsidR="003A3376" w:rsidRPr="0078583F">
        <w:rPr>
          <w:rFonts w:asciiTheme="minorHAnsi" w:hAnsiTheme="minorHAnsi" w:cstheme="minorHAnsi"/>
          <w:sz w:val="20"/>
        </w:rPr>
        <w:t>ą</w:t>
      </w:r>
      <w:r w:rsidRPr="0078583F">
        <w:rPr>
          <w:rFonts w:asciiTheme="minorHAnsi" w:hAnsiTheme="minorHAnsi" w:cstheme="minorHAnsi"/>
          <w:sz w:val="20"/>
        </w:rPr>
        <w:t>dowa</w:t>
      </w:r>
    </w:p>
    <w:p w14:paraId="57A1A319" w14:textId="41A2D103" w:rsidR="00AC310B" w:rsidRPr="0078583F" w:rsidRDefault="00AC310B" w:rsidP="00DA054A">
      <w:pPr>
        <w:rPr>
          <w:rFonts w:asciiTheme="minorHAnsi" w:hAnsiTheme="minorHAnsi" w:cstheme="minorHAnsi"/>
          <w:sz w:val="20"/>
        </w:rPr>
      </w:pPr>
      <w:r w:rsidRPr="0078583F">
        <w:rPr>
          <w:rFonts w:asciiTheme="minorHAnsi" w:hAnsiTheme="minorHAnsi" w:cstheme="minorHAnsi"/>
          <w:sz w:val="20"/>
        </w:rPr>
        <w:t>Załącznik nr 1.9 – Warunki przyłączenia</w:t>
      </w:r>
    </w:p>
    <w:p w14:paraId="1E394313" w14:textId="7C4A5EB8" w:rsidR="00F0010F" w:rsidRPr="0078583F" w:rsidRDefault="00F0010F" w:rsidP="00DA054A">
      <w:pPr>
        <w:rPr>
          <w:rFonts w:asciiTheme="minorHAnsi" w:hAnsiTheme="minorHAnsi" w:cstheme="minorHAnsi"/>
          <w:sz w:val="20"/>
        </w:rPr>
      </w:pPr>
      <w:r w:rsidRPr="0078583F">
        <w:rPr>
          <w:rFonts w:asciiTheme="minorHAnsi" w:hAnsiTheme="minorHAnsi" w:cstheme="minorHAnsi"/>
          <w:sz w:val="20"/>
        </w:rPr>
        <w:t>Załącznik nr 1.10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1CA26208"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71298C">
        <w:rPr>
          <w:rFonts w:asciiTheme="minorHAnsi" w:hAnsiTheme="minorHAnsi" w:cstheme="minorHAnsi"/>
          <w:sz w:val="20"/>
        </w:rPr>
        <w:t>Łódź</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7B8398D"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Klauzula – zatwierdzenie do realizacji (dotyc</w:t>
      </w:r>
      <w:r w:rsidR="007A7DE8">
        <w:rPr>
          <w:rFonts w:asciiTheme="minorHAnsi" w:hAnsiTheme="minorHAnsi" w:cstheme="minorHAnsi"/>
          <w:sz w:val="20"/>
        </w:rPr>
        <w:t>zy PGE Dystrybucja S.A. Oddział Łódź</w:t>
      </w:r>
      <w:r w:rsidRPr="005873E7">
        <w:rPr>
          <w:rFonts w:asciiTheme="minorHAnsi" w:hAnsiTheme="minorHAnsi" w:cstheme="minorHAnsi"/>
          <w:sz w:val="20"/>
        </w:rPr>
        <w:t>)</w:t>
      </w:r>
    </w:p>
    <w:p w14:paraId="6AB1F940" w14:textId="403F0069"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 xml:space="preserve">y PGE Dystrybucja S.A. Oddział </w:t>
      </w:r>
      <w:r w:rsidR="007A7DE8">
        <w:rPr>
          <w:rFonts w:asciiTheme="minorHAnsi" w:hAnsiTheme="minorHAnsi" w:cstheme="minorHAnsi"/>
          <w:sz w:val="20"/>
        </w:rPr>
        <w:t>Łódź</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77777777"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SWZ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62D06E3" w:rsidR="00A6238A" w:rsidRPr="00A6238A" w:rsidRDefault="005A20E4" w:rsidP="00A6238A">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00B649C3" w:rsidRPr="00EC1CD7">
        <w:rPr>
          <w:rFonts w:asciiTheme="minorHAnsi" w:hAnsiTheme="minorHAnsi" w:cstheme="minorHAnsi"/>
          <w:b/>
          <w:sz w:val="20"/>
        </w:rPr>
        <w:t>Wzór porozumienia o ustanowienie nieodpłatnej służebności przesyłu</w:t>
      </w:r>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2FEE3F5B"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2AD4793C"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22462C8D"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0792F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4EAFCC95" w14:textId="77777777"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DAE016F" w14:textId="77777777" w:rsidR="00037857" w:rsidRPr="00037857" w:rsidRDefault="00037857" w:rsidP="00037857">
      <w:pPr>
        <w:rPr>
          <w:rFonts w:asciiTheme="minorHAnsi" w:hAnsiTheme="minorHAnsi" w:cstheme="minorHAnsi"/>
          <w:sz w:val="20"/>
        </w:rPr>
      </w:pPr>
    </w:p>
    <w:p w14:paraId="3779CF46" w14:textId="77777777" w:rsidR="00037857" w:rsidRPr="00037857" w:rsidRDefault="00037857" w:rsidP="00037857">
      <w:pPr>
        <w:spacing w:after="200" w:line="276" w:lineRule="auto"/>
        <w:jc w:val="left"/>
        <w:rPr>
          <w:rFonts w:asciiTheme="minorHAnsi" w:eastAsiaTheme="minorHAnsi" w:hAnsiTheme="minorHAnsi" w:cstheme="minorBidi"/>
          <w:szCs w:val="22"/>
        </w:rPr>
      </w:pP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1080A42C" w14:textId="60450BEB" w:rsidR="00BE0422"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w:t>
      </w:r>
      <w:r w:rsidR="00BE0422">
        <w:rPr>
          <w:rFonts w:asciiTheme="minorHAnsi" w:hAnsiTheme="minorHAnsi" w:cstheme="minorHAnsi"/>
          <w:b/>
          <w:sz w:val="20"/>
        </w:rPr>
        <w:t>–</w:t>
      </w:r>
      <w:r w:rsidR="007F1B03">
        <w:rPr>
          <w:rFonts w:asciiTheme="minorHAnsi" w:hAnsiTheme="minorHAnsi" w:cstheme="minorHAnsi"/>
          <w:b/>
          <w:sz w:val="20"/>
        </w:rPr>
        <w:t xml:space="preserve"> </w:t>
      </w:r>
      <w:r w:rsidR="00BE0422">
        <w:rPr>
          <w:rFonts w:asciiTheme="minorHAnsi" w:hAnsiTheme="minorHAnsi" w:cstheme="minorHAnsi"/>
          <w:b/>
          <w:sz w:val="20"/>
        </w:rPr>
        <w:t xml:space="preserve">Wytyczne dla projektantów – układanie kabli SN metodą płużenia </w:t>
      </w: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even" r:id="rId14"/>
      <w:headerReference w:type="default" r:id="rId15"/>
      <w:footerReference w:type="even" r:id="rId16"/>
      <w:footerReference w:type="default" r:id="rId17"/>
      <w:headerReference w:type="first" r:id="rId18"/>
      <w:footerReference w:type="first" r:id="rId19"/>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83C91" w14:textId="77777777" w:rsidR="00025A4D" w:rsidRDefault="00025A4D" w:rsidP="004A302B">
      <w:pPr>
        <w:spacing w:line="240" w:lineRule="auto"/>
      </w:pPr>
      <w:r>
        <w:separator/>
      </w:r>
    </w:p>
  </w:endnote>
  <w:endnote w:type="continuationSeparator" w:id="0">
    <w:p w14:paraId="14D63644" w14:textId="77777777" w:rsidR="00025A4D" w:rsidRDefault="00025A4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4EC05" w14:textId="77777777" w:rsidR="00DC088C" w:rsidRDefault="00DC08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1CE2A3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C088C">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C088C">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3E809" w14:textId="77777777" w:rsidR="00DC088C" w:rsidRDefault="00DC08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821CC" w14:textId="77777777" w:rsidR="00025A4D" w:rsidRDefault="00025A4D" w:rsidP="004A302B">
      <w:pPr>
        <w:spacing w:line="240" w:lineRule="auto"/>
      </w:pPr>
      <w:r>
        <w:separator/>
      </w:r>
    </w:p>
  </w:footnote>
  <w:footnote w:type="continuationSeparator" w:id="0">
    <w:p w14:paraId="607EADCB" w14:textId="77777777" w:rsidR="00025A4D" w:rsidRDefault="00025A4D"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5DA99" w14:textId="77777777" w:rsidR="00DC088C" w:rsidRDefault="00DC08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0E8F" w14:textId="1018503C" w:rsidR="00B074C6" w:rsidRDefault="00B074C6">
    <w:pPr>
      <w:pStyle w:val="Nagwek"/>
    </w:pPr>
  </w:p>
  <w:p w14:paraId="56EE1E95" w14:textId="569A0CFC" w:rsidR="00DC088C" w:rsidRPr="00DC088C" w:rsidRDefault="00B074C6" w:rsidP="00DC088C">
    <w:pPr>
      <w:pStyle w:val="Nagwek"/>
      <w:tabs>
        <w:tab w:val="clear" w:pos="4536"/>
        <w:tab w:val="clear" w:pos="9072"/>
        <w:tab w:val="left" w:pos="2038"/>
      </w:tabs>
    </w:pPr>
    <w:r>
      <w:rPr>
        <w:noProof/>
        <w:lang w:eastAsia="pl-PL"/>
      </w:rPr>
      <w:drawing>
        <wp:inline distT="0" distB="0" distL="0" distR="0" wp14:anchorId="7DB60C9F" wp14:editId="4C0F18E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DC088C" w:rsidRPr="00DC088C">
      <w:rPr>
        <w:rFonts w:asciiTheme="minorHAnsi" w:hAnsiTheme="minorHAnsi" w:cstheme="minorHAnsi"/>
        <w:sz w:val="18"/>
        <w:szCs w:val="18"/>
      </w:rPr>
      <w:t xml:space="preserve"> </w:t>
    </w:r>
    <w:r w:rsidR="00DC088C" w:rsidRPr="00DC088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2108919398"/>
        <w:placeholder>
          <w:docPart w:val="6918B900F7EF4B56B3D08A332E82D4C7"/>
        </w:placeholder>
        <w:dataBinding w:prefixMappings="xmlns:ns0='http://schemas.openxmlformats.org/package/2006/metadata/core-properties' xmlns:ns1='http://purl.org/dc/elements/1.1/'" w:xpath="/ns0:coreProperties[1]/ns1:subject[1]" w:storeItemID="{6C3C8BC8-F283-45AE-878A-BAB7291924A1}"/>
        <w:text/>
      </w:sdtPr>
      <w:sdtContent>
        <w:r w:rsidR="00DC088C" w:rsidRPr="00DC088C">
          <w:rPr>
            <w:rFonts w:ascii="Calibri" w:hAnsi="Calibri" w:cs="Calibri"/>
            <w:sz w:val="18"/>
            <w:szCs w:val="18"/>
          </w:rPr>
          <w:t>POST/DYS/OLD/GZ/02855/2025</w:t>
        </w:r>
      </w:sdtContent>
    </w:sdt>
  </w:p>
  <w:p w14:paraId="6D23F90A" w14:textId="4C0FB6D3" w:rsidR="00B074C6" w:rsidRDefault="00B074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A4D"/>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C84"/>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622D"/>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5CA"/>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04E"/>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2F"/>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5D7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63B0"/>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19"/>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12F"/>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773"/>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0DA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0E2B"/>
    <w:rsid w:val="00711D36"/>
    <w:rsid w:val="00712338"/>
    <w:rsid w:val="0071298C"/>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EE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F0B"/>
    <w:rsid w:val="00780E0A"/>
    <w:rsid w:val="00782340"/>
    <w:rsid w:val="0078319C"/>
    <w:rsid w:val="00783534"/>
    <w:rsid w:val="00785158"/>
    <w:rsid w:val="0078583F"/>
    <w:rsid w:val="00787A76"/>
    <w:rsid w:val="00787A90"/>
    <w:rsid w:val="0079055F"/>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A7DE8"/>
    <w:rsid w:val="007B2E2F"/>
    <w:rsid w:val="007B372D"/>
    <w:rsid w:val="007B374B"/>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594"/>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75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378"/>
    <w:rsid w:val="008B65BB"/>
    <w:rsid w:val="008B69B1"/>
    <w:rsid w:val="008B7004"/>
    <w:rsid w:val="008B7D9C"/>
    <w:rsid w:val="008C1055"/>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17B01"/>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385"/>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679"/>
    <w:rsid w:val="00994027"/>
    <w:rsid w:val="00995AB2"/>
    <w:rsid w:val="00995F52"/>
    <w:rsid w:val="009969CD"/>
    <w:rsid w:val="00996C00"/>
    <w:rsid w:val="00997487"/>
    <w:rsid w:val="009A0E43"/>
    <w:rsid w:val="009A2F3A"/>
    <w:rsid w:val="009A39C5"/>
    <w:rsid w:val="009A3A3B"/>
    <w:rsid w:val="009A4EA9"/>
    <w:rsid w:val="009A7022"/>
    <w:rsid w:val="009A73BF"/>
    <w:rsid w:val="009A7580"/>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4FE"/>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1C1"/>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074C6"/>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25F1"/>
    <w:rsid w:val="00B634A2"/>
    <w:rsid w:val="00B63A5F"/>
    <w:rsid w:val="00B645D9"/>
    <w:rsid w:val="00B649C3"/>
    <w:rsid w:val="00B655CD"/>
    <w:rsid w:val="00B65C83"/>
    <w:rsid w:val="00B70431"/>
    <w:rsid w:val="00B70639"/>
    <w:rsid w:val="00B715BF"/>
    <w:rsid w:val="00B71AAA"/>
    <w:rsid w:val="00B72385"/>
    <w:rsid w:val="00B728DB"/>
    <w:rsid w:val="00B74282"/>
    <w:rsid w:val="00B75C06"/>
    <w:rsid w:val="00B76269"/>
    <w:rsid w:val="00B76BE1"/>
    <w:rsid w:val="00B76D93"/>
    <w:rsid w:val="00B77125"/>
    <w:rsid w:val="00B824CA"/>
    <w:rsid w:val="00B83212"/>
    <w:rsid w:val="00B8478F"/>
    <w:rsid w:val="00B85E16"/>
    <w:rsid w:val="00B86C4B"/>
    <w:rsid w:val="00B871B6"/>
    <w:rsid w:val="00B875B6"/>
    <w:rsid w:val="00B87DE5"/>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E7E6D"/>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1DF"/>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574"/>
    <w:rsid w:val="00C529E4"/>
    <w:rsid w:val="00C52A3C"/>
    <w:rsid w:val="00C5340E"/>
    <w:rsid w:val="00C538E0"/>
    <w:rsid w:val="00C53C93"/>
    <w:rsid w:val="00C54C62"/>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961D8"/>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BEC"/>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5C8E"/>
    <w:rsid w:val="00D3114C"/>
    <w:rsid w:val="00D319DD"/>
    <w:rsid w:val="00D3219E"/>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E0B"/>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88C"/>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491F"/>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1A56"/>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879"/>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918B900F7EF4B56B3D08A332E82D4C7"/>
        <w:category>
          <w:name w:val="Ogólne"/>
          <w:gallery w:val="placeholder"/>
        </w:category>
        <w:types>
          <w:type w:val="bbPlcHdr"/>
        </w:types>
        <w:behaviors>
          <w:behavior w:val="content"/>
        </w:behaviors>
        <w:guid w:val="{0D5F085D-21C7-4B65-9EC5-4319208ABA26}"/>
      </w:docPartPr>
      <w:docPartBody>
        <w:p w:rsidR="00000000" w:rsidRDefault="004B1B50" w:rsidP="004B1B50">
          <w:pPr>
            <w:pStyle w:val="6918B900F7EF4B56B3D08A332E82D4C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B50"/>
    <w:rsid w:val="004B1B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6918B900F7EF4B56B3D08A332E82D4C7">
    <w:name w:val="6918B900F7EF4B56B3D08A332E82D4C7"/>
    <w:rsid w:val="004B1B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06FF3869E592246811ED4BA8CF5E90A" ma:contentTypeVersion="0" ma:contentTypeDescription="SWPP2 Dokument bazowy" ma:contentTypeScope="" ma:versionID="7e4e6b8dbdafa509abcfa19aa1e743d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cz.1.docx</dmsv2BaseFileName>
    <dmsv2BaseDisplayName xmlns="http://schemas.microsoft.com/sharepoint/v3">Zał. nr 1 cz.1</dmsv2BaseDisplayName>
    <dmsv2SWPP2ObjectNumber xmlns="http://schemas.microsoft.com/sharepoint/v3">POST/DYS/OLD/GZ/02855/2025                        </dmsv2SWPP2ObjectNumber>
    <dmsv2SWPP2SumMD5 xmlns="http://schemas.microsoft.com/sharepoint/v3">ecd3359e57ecb918a423a65ef5405108</dmsv2SWPP2SumMD5>
    <dmsv2BaseMoved xmlns="http://schemas.microsoft.com/sharepoint/v3">false</dmsv2BaseMoved>
    <dmsv2BaseIsSensitive xmlns="http://schemas.microsoft.com/sharepoint/v3">true</dmsv2BaseIsSensitive>
    <dmsv2SWPP2IDSWPP2 xmlns="http://schemas.microsoft.com/sharepoint/v3">688839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23081443</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VMUH7Q3WANFY-376149320-4105</_dlc_DocId>
    <_dlc_DocIdUrl xmlns="a19cb1c7-c5c7-46d4-85ae-d83685407bba">
      <Url>https://swpp2.dms.gkpge.pl/sites/39/_layouts/15/DocIdRedir.aspx?ID=VMUH7Q3WANFY-376149320-4105</Url>
      <Description>VMUH7Q3WANFY-376149320-4105</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2.xml><?xml version="1.0" encoding="utf-8"?>
<ds:datastoreItem xmlns:ds="http://schemas.openxmlformats.org/officeDocument/2006/customXml" ds:itemID="{8F9D10CE-CFB9-4E56-A0B1-73D11A77985C}"/>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13717D77-A1AC-4BA8-9DB3-2F30A578F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18</Pages>
  <Words>5245</Words>
  <Characters>31472</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POST/DYS/OLD/GZ/02855/2025</dc:subject>
  <dc:creator>Kurpiewska Katarzyna [PGE S.A.]</dc:creator>
  <cp:lastModifiedBy>Kostrzewa Karolina [PGE Dystr. O.Łódź]</cp:lastModifiedBy>
  <cp:revision>50</cp:revision>
  <cp:lastPrinted>2021-02-26T13:14:00Z</cp:lastPrinted>
  <dcterms:created xsi:type="dcterms:W3CDTF">2024-12-03T12:37:00Z</dcterms:created>
  <dcterms:modified xsi:type="dcterms:W3CDTF">2025-07-30T10:11:00Z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0x0101891000806FF3869E592246811ED4BA8CF5E90A</vt:lpwstr>
  </property>
  <property fmtid="{D5CDD505-2E9C-101B-9397-08002B2CF9AE}" pid="3" name="_dlc_DocIdItemGuid">
    <vt:lpwstr>9ab7d7f2-23ac-4c18-a220-c9450ab28787</vt:lpwstr>
  </property>
</Properties>
</file>