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1C92DCE3"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FD1619">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58D1470D" w14:textId="77777777" w:rsidR="00FD1619" w:rsidRPr="00FD1619"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t>
      </w:r>
    </w:p>
    <w:p w14:paraId="22FCE353" w14:textId="3F9F2EC0" w:rsidR="008570F1" w:rsidRPr="0097357D" w:rsidRDefault="008570F1" w:rsidP="00FD1619">
      <w:pPr>
        <w:pStyle w:val="Akapitzlist"/>
        <w:spacing w:before="120" w:after="120" w:line="240" w:lineRule="auto"/>
        <w:ind w:left="786"/>
        <w:rPr>
          <w:rFonts w:asciiTheme="minorHAnsi" w:eastAsia="Calibri" w:hAnsiTheme="minorHAnsi" w:cstheme="minorHAnsi"/>
          <w:bCs/>
          <w:sz w:val="20"/>
        </w:rPr>
      </w:pPr>
      <w:r w:rsidRPr="0097357D">
        <w:rPr>
          <w:rFonts w:asciiTheme="minorHAnsi" w:hAnsiTheme="minorHAnsi" w:cstheme="minorHAnsi"/>
          <w:sz w:val="20"/>
          <w:lang w:eastAsia="pl-PL"/>
        </w:rPr>
        <w:t xml:space="preserve">w </w:t>
      </w:r>
      <w:r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97357D">
        <w:rPr>
          <w:rFonts w:asciiTheme="minorHAnsi" w:hAnsiTheme="minorHAnsi" w:cstheme="minorHAnsi"/>
          <w:sz w:val="20"/>
          <w:lang w:eastAsia="pl-PL"/>
        </w:rPr>
        <w:t xml:space="preserve">(Dz. Urz. UE L 134 z 20.05.2006, str. 1, z późn. zm.) (dalej: Rozporządzenie 765/2006) i </w:t>
      </w:r>
      <w:r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DAF3665" w14:textId="77777777" w:rsidR="00FD1619" w:rsidRPr="00FD1619"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którego beneficjentem rzeczywistym </w:t>
      </w:r>
    </w:p>
    <w:p w14:paraId="5AA9B1A1" w14:textId="273B3AA3" w:rsidR="008570F1" w:rsidRPr="0097357D" w:rsidRDefault="008570F1" w:rsidP="00FD1619">
      <w:pPr>
        <w:pStyle w:val="Akapitzlist"/>
        <w:spacing w:before="120" w:after="120" w:line="240" w:lineRule="auto"/>
        <w:ind w:left="786"/>
        <w:rPr>
          <w:rFonts w:asciiTheme="minorHAnsi" w:eastAsia="Calibri" w:hAnsiTheme="minorHAnsi" w:cstheme="minorHAnsi"/>
          <w:bCs/>
          <w:sz w:val="20"/>
        </w:rPr>
      </w:pPr>
      <w:r w:rsidRPr="0097357D">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FD1619">
        <w:rPr>
          <w:rFonts w:asciiTheme="minorHAnsi" w:hAnsiTheme="minorHAnsi" w:cstheme="minorHAnsi"/>
          <w:sz w:val="20"/>
          <w:lang w:eastAsia="pl-PL"/>
        </w:rPr>
        <w:br/>
      </w:r>
      <w:r w:rsidRPr="0097357D">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48DF9DA6"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którego jednostką dominującą </w:t>
      </w:r>
      <w:r w:rsidR="00FD1619">
        <w:rPr>
          <w:rFonts w:asciiTheme="minorHAnsi" w:hAnsiTheme="minorHAnsi" w:cstheme="minorHAnsi"/>
          <w:sz w:val="20"/>
          <w:lang w:eastAsia="pl-PL"/>
        </w:rPr>
        <w:br/>
      </w:r>
      <w:r w:rsidR="008570F1" w:rsidRPr="0097357D">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FD1619">
        <w:rPr>
          <w:rFonts w:asciiTheme="minorHAnsi" w:hAnsiTheme="minorHAnsi" w:cstheme="minorHAnsi"/>
          <w:sz w:val="20"/>
          <w:lang w:eastAsia="pl-PL"/>
        </w:rPr>
        <w:br/>
      </w:r>
      <w:r w:rsidR="008570F1" w:rsidRPr="0097357D">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1F2A551"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obywateli rosyjskich lub osób fizycznych lub prawnych, podmiotów lub organów z siedzibą </w:t>
      </w:r>
      <w:r w:rsidR="00FD1619">
        <w:rPr>
          <w:rFonts w:asciiTheme="minorHAnsi" w:hAnsiTheme="minorHAnsi" w:cstheme="minorHAnsi"/>
          <w:sz w:val="20"/>
          <w:lang w:eastAsia="pl-PL"/>
        </w:rPr>
        <w:br/>
      </w:r>
      <w:r w:rsidRPr="0097357D">
        <w:rPr>
          <w:rFonts w:asciiTheme="minorHAnsi" w:hAnsiTheme="minorHAnsi" w:cstheme="minorHAnsi"/>
          <w:sz w:val="20"/>
          <w:lang w:eastAsia="pl-PL"/>
        </w:rPr>
        <w:t>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17C8D812"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 xml:space="preserve">o którym mowa w art. 228–230a, art. 250a Kodeksu karnego lub w art. 46 lub art. 48 ustawy </w:t>
      </w:r>
      <w:r w:rsidR="00FD1619">
        <w:rPr>
          <w:rFonts w:asciiTheme="minorHAnsi" w:hAnsiTheme="minorHAnsi" w:cstheme="minorHAnsi"/>
          <w:sz w:val="20"/>
          <w:lang w:eastAsia="pl-PL"/>
        </w:rPr>
        <w:br/>
      </w:r>
      <w:r w:rsidRPr="0097357D">
        <w:rPr>
          <w:rFonts w:asciiTheme="minorHAnsi" w:hAnsiTheme="minorHAnsi" w:cstheme="minorHAnsi"/>
          <w:sz w:val="20"/>
          <w:lang w:eastAsia="pl-PL"/>
        </w:rPr>
        <w:t>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4EA419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Wobec Wykonawcy orzeczono zakaz ubiegania się </w:t>
      </w:r>
      <w:r w:rsidR="00FD1619">
        <w:rPr>
          <w:rFonts w:asciiTheme="minorHAnsi" w:hAnsiTheme="minorHAnsi" w:cstheme="minorHAnsi"/>
          <w:sz w:val="20"/>
          <w:lang w:eastAsia="pl-PL"/>
        </w:rPr>
        <w:br/>
      </w:r>
      <w:r w:rsidR="001E44B0" w:rsidRPr="0097357D">
        <w:rPr>
          <w:rFonts w:asciiTheme="minorHAnsi" w:hAnsiTheme="minorHAnsi" w:cstheme="minorHAnsi"/>
          <w:sz w:val="20"/>
          <w:lang w:eastAsia="pl-PL"/>
        </w:rPr>
        <w:t>o zamówienia publiczne,</w:t>
      </w:r>
    </w:p>
    <w:p w14:paraId="6F6D06B1" w14:textId="43680FA3"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t>
      </w:r>
      <w:r w:rsidR="00FD1619">
        <w:rPr>
          <w:rFonts w:asciiTheme="minorHAnsi" w:hAnsiTheme="minorHAnsi" w:cstheme="minorHAnsi"/>
          <w:sz w:val="20"/>
          <w:lang w:eastAsia="pl-PL"/>
        </w:rPr>
        <w:br/>
      </w:r>
      <w:r w:rsidR="001E44B0" w:rsidRPr="0097357D">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78C3293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z tym do zakłócenia konkurencji wynikającego z wcześniejszego zaangażowania tego Wykonawcy lub podmiotu, który należy z Wykonawcą do tej samej grupy kapitałowej w rozumieniu ustawy z dnia 16 lutego 2007r. </w:t>
      </w:r>
      <w:r w:rsidR="00FD1619">
        <w:rPr>
          <w:rFonts w:asciiTheme="minorHAnsi" w:hAnsiTheme="minorHAnsi" w:cstheme="minorHAnsi"/>
          <w:sz w:val="20"/>
          <w:lang w:eastAsia="pl-PL"/>
        </w:rPr>
        <w:br/>
      </w:r>
      <w:r w:rsidR="001E44B0" w:rsidRPr="0097357D">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20B1BB1B"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 xml:space="preserve">Posiadają niezbędne zdolności techniczne lub zawodowe do zrealizowania Zakupu, </w:t>
      </w:r>
      <w:r w:rsidR="00FD1619">
        <w:rPr>
          <w:rFonts w:asciiTheme="minorHAnsi" w:hAnsiTheme="minorHAnsi" w:cstheme="minorHAnsi"/>
          <w:b/>
          <w:sz w:val="20"/>
          <w:lang w:eastAsia="pl-PL"/>
        </w:rPr>
        <w:br/>
      </w:r>
      <w:r w:rsidRPr="00217ADA">
        <w:rPr>
          <w:rFonts w:asciiTheme="minorHAnsi" w:hAnsiTheme="minorHAnsi" w:cstheme="minorHAnsi"/>
          <w:b/>
          <w:sz w:val="20"/>
          <w:lang w:eastAsia="pl-PL"/>
        </w:rPr>
        <w:t>w szczególności  wiedzę i doświadczenie oraz dysponują potencjałem technicznym i osobami zdolnymi do realizacji Zakupu</w:t>
      </w:r>
    </w:p>
    <w:p w14:paraId="49473465" w14:textId="78E004C3" w:rsidR="0097357D" w:rsidRPr="00217ADA" w:rsidRDefault="0097357D" w:rsidP="0097357D">
      <w:pPr>
        <w:spacing w:before="60" w:after="120" w:line="240" w:lineRule="auto"/>
        <w:ind w:left="284"/>
        <w:contextualSpacing/>
        <w:rPr>
          <w:rFonts w:asciiTheme="minorHAnsi" w:hAnsiTheme="minorHAnsi" w:cstheme="minorHAnsi"/>
          <w:b/>
          <w:sz w:val="20"/>
          <w:lang w:eastAsia="pl-PL"/>
        </w:rPr>
      </w:pPr>
    </w:p>
    <w:p w14:paraId="4BB1E5C6" w14:textId="26689E4D" w:rsidR="0097357D" w:rsidRPr="00217ADA" w:rsidRDefault="009B0FEC" w:rsidP="0097357D">
      <w:pPr>
        <w:spacing w:before="60" w:after="120" w:line="240" w:lineRule="auto"/>
        <w:ind w:left="284"/>
        <w:rPr>
          <w:rFonts w:asciiTheme="minorHAnsi" w:hAnsiTheme="minorHAnsi" w:cstheme="minorHAnsi"/>
          <w:sz w:val="20"/>
          <w:lang w:eastAsia="pl-PL"/>
        </w:rPr>
      </w:pPr>
      <w:r>
        <w:rPr>
          <w:rFonts w:asciiTheme="minorHAnsi" w:hAnsiTheme="minorHAnsi" w:cstheme="minorHAnsi"/>
          <w:sz w:val="20"/>
          <w:lang w:eastAsia="pl-PL"/>
        </w:rPr>
        <w:t xml:space="preserve">  </w:t>
      </w:r>
      <w:r w:rsidR="0097357D" w:rsidRPr="00217ADA">
        <w:rPr>
          <w:rFonts w:asciiTheme="minorHAnsi" w:hAnsiTheme="minorHAnsi" w:cstheme="minorHAnsi"/>
          <w:sz w:val="20"/>
          <w:lang w:eastAsia="pl-PL"/>
        </w:rPr>
        <w:t>W celu potwierdzenia spełnienia warunku Wykonawcy powinni wykazać, że:</w:t>
      </w:r>
    </w:p>
    <w:p w14:paraId="39DC92BB" w14:textId="77777777" w:rsidR="00D55C9C" w:rsidRDefault="003573FA" w:rsidP="00D55C9C">
      <w:pPr>
        <w:pStyle w:val="Akapitzlist"/>
        <w:numPr>
          <w:ilvl w:val="0"/>
          <w:numId w:val="28"/>
        </w:numPr>
        <w:spacing w:before="60" w:after="120" w:line="240" w:lineRule="auto"/>
        <w:ind w:left="709" w:hanging="283"/>
        <w:rPr>
          <w:rFonts w:asciiTheme="minorHAnsi" w:hAnsiTheme="minorHAnsi" w:cstheme="minorHAnsi"/>
          <w:sz w:val="20"/>
          <w:lang w:eastAsia="pl-PL"/>
        </w:rPr>
      </w:pPr>
      <w:r w:rsidRPr="00D55C9C">
        <w:rPr>
          <w:rFonts w:asciiTheme="minorHAnsi" w:hAnsiTheme="minorHAnsi" w:cstheme="minorHAnsi"/>
          <w:sz w:val="20"/>
          <w:lang w:eastAsia="pl-PL"/>
        </w:rPr>
        <w:t>posiadamy pracowników z uprawnieniami Urzędu Dozoru Technicznego do realizacji przedmiotu umowy,</w:t>
      </w:r>
    </w:p>
    <w:p w14:paraId="29BA2193" w14:textId="77777777" w:rsidR="00D55C9C" w:rsidRDefault="003573FA" w:rsidP="00D55C9C">
      <w:pPr>
        <w:pStyle w:val="Akapitzlist"/>
        <w:numPr>
          <w:ilvl w:val="0"/>
          <w:numId w:val="28"/>
        </w:numPr>
        <w:spacing w:before="60" w:after="120" w:line="240" w:lineRule="auto"/>
        <w:ind w:left="709" w:hanging="283"/>
        <w:rPr>
          <w:rFonts w:asciiTheme="minorHAnsi" w:hAnsiTheme="minorHAnsi" w:cstheme="minorHAnsi"/>
          <w:sz w:val="20"/>
          <w:lang w:eastAsia="pl-PL"/>
        </w:rPr>
      </w:pPr>
      <w:r w:rsidRPr="00D55C9C">
        <w:rPr>
          <w:rFonts w:asciiTheme="minorHAnsi" w:hAnsiTheme="minorHAnsi" w:cstheme="minorHAnsi"/>
          <w:sz w:val="20"/>
          <w:lang w:eastAsia="pl-PL"/>
        </w:rPr>
        <w:t>czynności konserwacyjne będą zgodne z dokumentacją techniczno-ruchową urządzeń,</w:t>
      </w:r>
    </w:p>
    <w:p w14:paraId="6A8D5B9D" w14:textId="77777777" w:rsidR="00D55C9C" w:rsidRDefault="003573FA" w:rsidP="00D55C9C">
      <w:pPr>
        <w:pStyle w:val="Akapitzlist"/>
        <w:numPr>
          <w:ilvl w:val="0"/>
          <w:numId w:val="28"/>
        </w:numPr>
        <w:spacing w:before="60" w:after="120" w:line="240" w:lineRule="auto"/>
        <w:ind w:left="709" w:hanging="283"/>
        <w:rPr>
          <w:rFonts w:asciiTheme="minorHAnsi" w:hAnsiTheme="minorHAnsi" w:cstheme="minorHAnsi"/>
          <w:sz w:val="20"/>
          <w:lang w:eastAsia="pl-PL"/>
        </w:rPr>
      </w:pPr>
      <w:r w:rsidRPr="00D55C9C">
        <w:rPr>
          <w:rFonts w:asciiTheme="minorHAnsi" w:hAnsiTheme="minorHAnsi" w:cstheme="minorHAnsi"/>
          <w:sz w:val="20"/>
          <w:lang w:eastAsia="pl-PL"/>
        </w:rPr>
        <w:t xml:space="preserve">tekst aktualnych wytycznych Urzędu Dozoru Technicznego jest nam </w:t>
      </w:r>
      <w:r w:rsidR="00FA3395" w:rsidRPr="00D55C9C">
        <w:rPr>
          <w:rFonts w:asciiTheme="minorHAnsi" w:hAnsiTheme="minorHAnsi" w:cstheme="minorHAnsi"/>
          <w:sz w:val="20"/>
          <w:lang w:eastAsia="pl-PL"/>
        </w:rPr>
        <w:t xml:space="preserve">znany i zobowiązuje się do jego </w:t>
      </w:r>
      <w:r w:rsidRPr="00D55C9C">
        <w:rPr>
          <w:rFonts w:asciiTheme="minorHAnsi" w:hAnsiTheme="minorHAnsi" w:cstheme="minorHAnsi"/>
          <w:sz w:val="20"/>
          <w:lang w:eastAsia="pl-PL"/>
        </w:rPr>
        <w:t>ścisłego przestrzegania,</w:t>
      </w:r>
    </w:p>
    <w:p w14:paraId="6FF1ED59" w14:textId="2A611C74" w:rsidR="003573FA" w:rsidRPr="00D55C9C" w:rsidRDefault="003573FA" w:rsidP="00D55C9C">
      <w:pPr>
        <w:pStyle w:val="Akapitzlist"/>
        <w:numPr>
          <w:ilvl w:val="0"/>
          <w:numId w:val="28"/>
        </w:numPr>
        <w:spacing w:before="60" w:after="120" w:line="240" w:lineRule="auto"/>
        <w:ind w:left="709" w:hanging="283"/>
        <w:rPr>
          <w:rFonts w:asciiTheme="minorHAnsi" w:hAnsiTheme="minorHAnsi" w:cstheme="minorHAnsi"/>
          <w:sz w:val="20"/>
          <w:lang w:eastAsia="pl-PL"/>
        </w:rPr>
      </w:pPr>
      <w:r w:rsidRPr="00D55C9C">
        <w:rPr>
          <w:rFonts w:asciiTheme="minorHAnsi" w:hAnsiTheme="minorHAnsi" w:cstheme="minorHAnsi"/>
          <w:sz w:val="20"/>
          <w:lang w:eastAsia="pl-PL"/>
        </w:rPr>
        <w:t>spełniamy wszystkie wymagania określone w SWZ oraz szczegółowym opisie przedmiotu zamówienia  stanowiącym załącznik nr 1 do SWZ,</w:t>
      </w:r>
    </w:p>
    <w:p w14:paraId="2360A32B" w14:textId="4F13A744" w:rsidR="00FA3395" w:rsidRPr="002E433F" w:rsidRDefault="00FA3395" w:rsidP="00FA3395">
      <w:pPr>
        <w:spacing w:before="60" w:after="120" w:line="240" w:lineRule="auto"/>
        <w:ind w:left="567" w:hanging="141"/>
        <w:rPr>
          <w:rFonts w:asciiTheme="minorHAnsi" w:hAnsiTheme="minorHAnsi" w:cstheme="minorHAnsi"/>
          <w:sz w:val="20"/>
          <w:lang w:eastAsia="pl-PL"/>
        </w:rPr>
      </w:pPr>
      <w:r w:rsidRPr="00E065F5">
        <w:rPr>
          <w:rFonts w:asciiTheme="minorHAnsi" w:hAnsiTheme="minorHAnsi" w:cstheme="minorHAnsi"/>
          <w:sz w:val="20"/>
          <w:lang w:eastAsia="pl-PL"/>
        </w:rPr>
        <w:t xml:space="preserve">zgodnie z </w:t>
      </w:r>
      <w:r w:rsidRPr="00E065F5">
        <w:rPr>
          <w:rFonts w:asciiTheme="minorHAnsi" w:hAnsiTheme="minorHAnsi" w:cstheme="minorHAnsi"/>
          <w:b/>
          <w:sz w:val="20"/>
          <w:lang w:eastAsia="pl-PL"/>
        </w:rPr>
        <w:t>załącznikiem nr 3 do SWZ</w:t>
      </w:r>
    </w:p>
    <w:p w14:paraId="05C85689" w14:textId="77777777" w:rsidR="0097357D" w:rsidRPr="00217ADA" w:rsidRDefault="0097357D" w:rsidP="0097357D">
      <w:pPr>
        <w:spacing w:before="60" w:after="120" w:line="240" w:lineRule="auto"/>
        <w:ind w:left="284"/>
        <w:rPr>
          <w:rFonts w:asciiTheme="minorHAnsi" w:hAnsiTheme="minorHAnsi" w:cstheme="minorHAnsi"/>
          <w:snapToGrid w:val="0"/>
          <w:sz w:val="20"/>
          <w:lang w:eastAsia="pl-PL"/>
        </w:rPr>
      </w:pPr>
      <w:r w:rsidRPr="00217ADA">
        <w:rPr>
          <w:rFonts w:asciiTheme="minorHAnsi" w:hAnsiTheme="minorHAnsi" w:cstheme="minorHAnsi"/>
          <w:b/>
          <w:snapToGrid w:val="0"/>
          <w:sz w:val="20"/>
          <w:lang w:eastAsia="pl-PL"/>
        </w:rPr>
        <w:t>UWAGA:</w:t>
      </w:r>
      <w:r w:rsidRPr="00217ADA">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97357D">
      <w:pPr>
        <w:spacing w:before="60" w:line="240" w:lineRule="auto"/>
        <w:ind w:firstLine="426"/>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79523F01" w14:textId="77777777" w:rsidR="0097357D" w:rsidRPr="004B4556" w:rsidRDefault="0097357D" w:rsidP="0097357D">
      <w:pPr>
        <w:spacing w:line="240" w:lineRule="auto"/>
        <w:ind w:firstLine="426"/>
        <w:contextualSpacing/>
        <w:rPr>
          <w:rFonts w:asciiTheme="minorHAnsi" w:hAnsiTheme="minorHAnsi" w:cstheme="minorHAnsi"/>
          <w:bCs/>
          <w:snapToGrid w:val="0"/>
          <w:sz w:val="20"/>
          <w:lang w:eastAsia="pl-PL"/>
        </w:rPr>
      </w:pPr>
      <w:r w:rsidRPr="00AE672E">
        <w:rPr>
          <w:rFonts w:asciiTheme="minorHAnsi" w:hAnsiTheme="minorHAnsi" w:cstheme="minorHAnsi"/>
          <w:sz w:val="20"/>
          <w:lang w:eastAsia="pl-PL"/>
        </w:rPr>
        <w:t>Zamawiający nie stawia szczególnych warunków w tym zakresie</w:t>
      </w:r>
      <w:r>
        <w:rPr>
          <w:rFonts w:asciiTheme="minorHAnsi" w:hAnsiTheme="minorHAnsi" w:cstheme="minorHAnsi"/>
          <w:sz w:val="20"/>
          <w:lang w:eastAsia="pl-PL"/>
        </w:rPr>
        <w:t>.</w:t>
      </w: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494583C5"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FD1619">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lastRenderedPageBreak/>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wskazanych w pkt. 1.1 powyżej w ppkt.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14DD0880"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FD1619">
        <w:rPr>
          <w:rFonts w:asciiTheme="minorHAnsi" w:eastAsia="Calibri" w:hAnsiTheme="minorHAnsi" w:cstheme="minorHAnsi"/>
          <w:sz w:val="20"/>
        </w:rPr>
        <w:br/>
      </w:r>
      <w:r w:rsidR="004D2168"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459355E8" w14:textId="4B330B00" w:rsidR="009F5C5D" w:rsidRPr="0097357D" w:rsidRDefault="00730A29" w:rsidP="00D55C9C">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bookmarkStart w:id="2" w:name="_GoBack"/>
      <w:bookmarkEnd w:id="2"/>
    </w:p>
    <w:p w14:paraId="6E20F2C9" w14:textId="2E59CF88"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 xml:space="preserve"> </w:t>
      </w:r>
      <w:r w:rsidR="007A3138"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007A3138"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007A3138" w:rsidRPr="000E76BB">
        <w:rPr>
          <w:rFonts w:asciiTheme="minorHAnsi" w:eastAsia="Calibri" w:hAnsiTheme="minorHAnsi" w:cstheme="minorHAnsi"/>
          <w:sz w:val="20"/>
        </w:rPr>
        <w:t xml:space="preserve"> również </w:t>
      </w:r>
      <w:r w:rsidR="00FD1619">
        <w:rPr>
          <w:rFonts w:asciiTheme="minorHAnsi" w:eastAsia="Calibri" w:hAnsiTheme="minorHAnsi" w:cstheme="minorHAnsi"/>
          <w:sz w:val="20"/>
        </w:rPr>
        <w:br/>
      </w:r>
      <w:r w:rsidR="007A3138" w:rsidRPr="000E76BB">
        <w:rPr>
          <w:rFonts w:asciiTheme="minorHAnsi" w:eastAsia="Calibri" w:hAnsiTheme="minorHAnsi" w:cstheme="minorHAnsi"/>
          <w:sz w:val="20"/>
        </w:rPr>
        <w:t>w oparciu o dokumenty dotyczące statusu własnościowego wykon</w:t>
      </w:r>
      <w:r w:rsidR="00A72129">
        <w:rPr>
          <w:rFonts w:asciiTheme="minorHAnsi" w:eastAsia="Calibri" w:hAnsiTheme="minorHAnsi" w:cstheme="minorHAnsi"/>
          <w:sz w:val="20"/>
        </w:rPr>
        <w:t>awcy (oraz odpowiednio członka K</w:t>
      </w:r>
      <w:r w:rsidR="007A3138" w:rsidRPr="000E76BB">
        <w:rPr>
          <w:rFonts w:asciiTheme="minorHAnsi" w:eastAsia="Calibri" w:hAnsiTheme="minorHAnsi" w:cstheme="minorHAnsi"/>
          <w:sz w:val="20"/>
        </w:rPr>
        <w:t xml:space="preserve">onsorcjum, podmiotu udostepniającego zasoby, podwykonawcy), które uzna za niezbędne </w:t>
      </w:r>
      <w:r w:rsidR="00FD1619">
        <w:rPr>
          <w:rFonts w:asciiTheme="minorHAnsi" w:eastAsia="Calibri" w:hAnsiTheme="minorHAnsi" w:cstheme="minorHAnsi"/>
          <w:sz w:val="20"/>
        </w:rPr>
        <w:br/>
      </w:r>
      <w:r w:rsidR="007A3138" w:rsidRPr="000E76BB">
        <w:rPr>
          <w:rFonts w:asciiTheme="minorHAnsi" w:eastAsia="Calibri" w:hAnsiTheme="minorHAnsi" w:cstheme="minorHAnsi"/>
          <w:sz w:val="20"/>
        </w:rPr>
        <w:t>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 xml:space="preserve">oraz informacji z Centralnego Rejestru Beneficjentów Rzeczywistych – jeżeli odrębne przepisy wymagają wpisu do tego rejestru, o ile nie będzie możliwe uzyskanie tych dokumentów za pomocą bezpłatnych i ogólnodostępnych baz danych, </w:t>
      </w:r>
      <w:r w:rsidR="00FD1619">
        <w:rPr>
          <w:rFonts w:asciiTheme="minorHAnsi" w:eastAsia="Calibri" w:hAnsiTheme="minorHAnsi" w:cstheme="minorHAnsi"/>
          <w:sz w:val="20"/>
        </w:rPr>
        <w:br/>
      </w:r>
      <w:r w:rsidR="007A3138" w:rsidRPr="000E76BB">
        <w:rPr>
          <w:rFonts w:asciiTheme="minorHAnsi" w:eastAsia="Calibri" w:hAnsiTheme="minorHAnsi" w:cstheme="minorHAnsi"/>
          <w:sz w:val="20"/>
        </w:rPr>
        <w:t>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02324E0" w:rsidR="00597C07" w:rsidRPr="009B0FEC" w:rsidRDefault="005C2F3C" w:rsidP="009B0FEC">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FD1619">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2A4C4D3" w14:textId="77777777" w:rsidR="00EA1FB3" w:rsidRPr="00EA1FB3" w:rsidRDefault="00EA1FB3"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w:t>
      </w:r>
      <w:r w:rsidRPr="004B4556">
        <w:rPr>
          <w:rFonts w:asciiTheme="minorHAnsi" w:hAnsiTheme="minorHAnsi" w:cstheme="minorHAnsi"/>
          <w:sz w:val="20"/>
        </w:rPr>
        <w:lastRenderedPageBreak/>
        <w:t>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4810A3B2" w:rsidR="00D041BB" w:rsidRPr="003D289C"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8013214" w14:textId="77777777" w:rsidR="003D289C" w:rsidRPr="000F42C7"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w:t>
      </w:r>
      <w:r>
        <w:rPr>
          <w:rFonts w:asciiTheme="minorHAnsi" w:hAnsiTheme="minorHAnsi" w:cstheme="minorHAnsi"/>
          <w:sz w:val="20"/>
        </w:rPr>
        <w:t xml:space="preserve">2.4.,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Pr="008B3541">
        <w:rPr>
          <w:rFonts w:asciiTheme="minorHAnsi" w:hAnsiTheme="minorHAnsi" w:cstheme="minorHAnsi"/>
          <w:sz w:val="20"/>
        </w:rPr>
        <w:t>postaci elektronicznej opatrzonej kwalifikowanym podpisem elektronicznym lub innym niż kwalifikowany</w:t>
      </w:r>
      <w:r>
        <w:rPr>
          <w:rFonts w:asciiTheme="minorHAnsi" w:hAnsiTheme="minorHAnsi" w:cstheme="minorHAnsi"/>
          <w:sz w:val="20"/>
        </w:rPr>
        <w:t>m</w:t>
      </w:r>
      <w:r w:rsidRPr="008B3541">
        <w:rPr>
          <w:rFonts w:asciiTheme="minorHAnsi" w:hAnsiTheme="minorHAnsi" w:cstheme="minorHAnsi"/>
          <w:sz w:val="20"/>
        </w:rPr>
        <w:t xml:space="preserve"> rodzajem podpisu cyfrowego opatrzonego stosownym certyfikatem umożliwiającym identyfikację osoby go składającej</w:t>
      </w:r>
      <w:r w:rsidRPr="004A4390">
        <w:rPr>
          <w:rFonts w:asciiTheme="minorHAnsi" w:hAnsiTheme="minorHAnsi" w:cstheme="minorHAnsi"/>
          <w:sz w:val="20"/>
        </w:rPr>
        <w:t xml:space="preserve">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70EAFFE1" w14:textId="77777777" w:rsidR="003D289C"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188B18EC"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FD1619">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650E366F" w14:textId="4F7EE58A" w:rsidR="00E44BB1" w:rsidRPr="009B0FEC" w:rsidRDefault="003D289C" w:rsidP="00FF74D8">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FD1619">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86E30" w14:textId="77777777" w:rsidR="004B3305" w:rsidRDefault="004B3305" w:rsidP="004A302B">
      <w:pPr>
        <w:spacing w:line="240" w:lineRule="auto"/>
      </w:pPr>
      <w:r>
        <w:separator/>
      </w:r>
    </w:p>
  </w:endnote>
  <w:endnote w:type="continuationSeparator" w:id="0">
    <w:p w14:paraId="747E4250" w14:textId="77777777" w:rsidR="004B3305" w:rsidRDefault="004B330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1D0B8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55C9C">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55C9C">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9E117" w14:textId="77777777" w:rsidR="004B3305" w:rsidRDefault="004B3305" w:rsidP="004A302B">
      <w:pPr>
        <w:spacing w:line="240" w:lineRule="auto"/>
      </w:pPr>
      <w:r>
        <w:separator/>
      </w:r>
    </w:p>
  </w:footnote>
  <w:footnote w:type="continuationSeparator" w:id="0">
    <w:p w14:paraId="1F8F7084" w14:textId="77777777" w:rsidR="004B3305" w:rsidRDefault="004B330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AA503F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A3395">
          <w:rPr>
            <w:rFonts w:asciiTheme="minorHAnsi" w:hAnsiTheme="minorHAnsi" w:cstheme="minorHAnsi"/>
            <w:sz w:val="18"/>
            <w:szCs w:val="18"/>
          </w:rPr>
          <w:t>POST/DYS/OLD/GZ/02831/2024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12099182"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6E26C36C"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50343DBC" wp14:editId="5729258B">
          <wp:simplePos x="0" y="0"/>
          <wp:positionH relativeFrom="margin">
            <wp:align>left</wp:align>
          </wp:positionH>
          <wp:positionV relativeFrom="paragraph">
            <wp:posOffset>-286385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Style w:val="Pogrubienie"/>
          <w:rFonts w:ascii="Arial" w:hAnsi="Arial" w:cs="Arial"/>
          <w:color w:val="000000"/>
          <w:sz w:val="18"/>
          <w:szCs w:val="18"/>
          <w:shd w:val="clear" w:color="auto" w:fill="FDFDFD"/>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rPr>
          <w:rStyle w:val="Pogrubienie"/>
        </w:rPr>
      </w:sdtEndPr>
      <w:sdtContent>
        <w:r w:rsidR="00FA3395" w:rsidRPr="00FA3395">
          <w:rPr>
            <w:rStyle w:val="Pogrubienie"/>
            <w:rFonts w:ascii="Arial" w:hAnsi="Arial" w:cs="Arial"/>
            <w:color w:val="000000"/>
            <w:sz w:val="18"/>
            <w:szCs w:val="18"/>
            <w:shd w:val="clear" w:color="auto" w:fill="FDFDFD"/>
          </w:rPr>
          <w:t>POST/DYS/OLD/GZ/02831/2024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4C6E6F88"/>
    <w:multiLevelType w:val="hybridMultilevel"/>
    <w:tmpl w:val="04A0EF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1"/>
  </w:num>
  <w:num w:numId="5">
    <w:abstractNumId w:val="5"/>
  </w:num>
  <w:num w:numId="6">
    <w:abstractNumId w:val="11"/>
  </w:num>
  <w:num w:numId="7">
    <w:abstractNumId w:val="8"/>
  </w:num>
  <w:num w:numId="8">
    <w:abstractNumId w:val="13"/>
  </w:num>
  <w:num w:numId="9">
    <w:abstractNumId w:val="12"/>
  </w:num>
  <w:num w:numId="10">
    <w:abstractNumId w:val="15"/>
  </w:num>
  <w:num w:numId="11">
    <w:abstractNumId w:val="18"/>
  </w:num>
  <w:num w:numId="12">
    <w:abstractNumId w:val="9"/>
  </w:num>
  <w:num w:numId="13">
    <w:abstractNumId w:val="20"/>
  </w:num>
  <w:num w:numId="14">
    <w:abstractNumId w:val="6"/>
  </w:num>
  <w:num w:numId="15">
    <w:abstractNumId w:val="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7"/>
  </w:num>
  <w:num w:numId="2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A3A"/>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6026"/>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4A81"/>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3FA"/>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2F33"/>
    <w:rsid w:val="0048437E"/>
    <w:rsid w:val="004859BD"/>
    <w:rsid w:val="00485DB0"/>
    <w:rsid w:val="00487AA0"/>
    <w:rsid w:val="00487D9E"/>
    <w:rsid w:val="004902F4"/>
    <w:rsid w:val="004906EB"/>
    <w:rsid w:val="0049080D"/>
    <w:rsid w:val="004910E3"/>
    <w:rsid w:val="00491142"/>
    <w:rsid w:val="00491705"/>
    <w:rsid w:val="00491DF0"/>
    <w:rsid w:val="0049200F"/>
    <w:rsid w:val="00493C9D"/>
    <w:rsid w:val="00494698"/>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3305"/>
    <w:rsid w:val="004B4556"/>
    <w:rsid w:val="004B5230"/>
    <w:rsid w:val="004B5F30"/>
    <w:rsid w:val="004B6A92"/>
    <w:rsid w:val="004B78BB"/>
    <w:rsid w:val="004B7C5F"/>
    <w:rsid w:val="004C009E"/>
    <w:rsid w:val="004C1C4B"/>
    <w:rsid w:val="004C485B"/>
    <w:rsid w:val="004C4A0D"/>
    <w:rsid w:val="004C5E08"/>
    <w:rsid w:val="004D0EA9"/>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63DF"/>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1A"/>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0FEC"/>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7B6"/>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2CB"/>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7B2"/>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17B0"/>
    <w:rsid w:val="00BB27C2"/>
    <w:rsid w:val="00BB287E"/>
    <w:rsid w:val="00BB3EA1"/>
    <w:rsid w:val="00BB42EE"/>
    <w:rsid w:val="00BB6FB0"/>
    <w:rsid w:val="00BC1318"/>
    <w:rsid w:val="00BC1395"/>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5C9C"/>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3395"/>
    <w:rsid w:val="00FA47B8"/>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619"/>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BB1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420D57"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3D70"/>
    <w:rsid w:val="000B4E1F"/>
    <w:rsid w:val="000B5EA4"/>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62A8C"/>
    <w:rsid w:val="0038682C"/>
    <w:rsid w:val="00394C17"/>
    <w:rsid w:val="003B4965"/>
    <w:rsid w:val="003C4DB9"/>
    <w:rsid w:val="003D3C04"/>
    <w:rsid w:val="003F09C6"/>
    <w:rsid w:val="003F28CC"/>
    <w:rsid w:val="00411C41"/>
    <w:rsid w:val="00420D57"/>
    <w:rsid w:val="004422C9"/>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6E3C8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2130D"/>
    <w:rsid w:val="00C524E3"/>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postepowaniu.docx</dmsv2BaseFileName>
    <dmsv2BaseDisplayName xmlns="http://schemas.microsoft.com/sharepoint/v3">Załącznik nr 2 do SWZ - Warunki udziału w postepowaniu</dmsv2BaseDisplayName>
    <dmsv2SWPP2ObjectNumber xmlns="http://schemas.microsoft.com/sharepoint/v3">POST/DYS/OLD/GZ/02831/2024                        </dmsv2SWPP2ObjectNumber>
    <dmsv2SWPP2SumMD5 xmlns="http://schemas.microsoft.com/sharepoint/v3">6ebe01b982d4fc5e76f61eda762079e1</dmsv2SWPP2SumMD5>
    <dmsv2BaseMoved xmlns="http://schemas.microsoft.com/sharepoint/v3">false</dmsv2BaseMoved>
    <dmsv2BaseIsSensitive xmlns="http://schemas.microsoft.com/sharepoint/v3">true</dmsv2BaseIsSensitive>
    <dmsv2SWPP2IDSWPP2 xmlns="http://schemas.microsoft.com/sharepoint/v3">657489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20655805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0000000100070002000000010001</dmsv2SWPP2ObjectDepartment>
    <dmsv2SWPP2ObjectName xmlns="http://schemas.microsoft.com/sharepoint/v3">Postępowanie</dmsv2SWPP2ObjectName>
    <_dlc_DocId xmlns="a19cb1c7-c5c7-46d4-85ae-d83685407bba">ZKQJDXMXURTQ-1645358399-13251</_dlc_DocId>
    <_dlc_DocIdUrl xmlns="a19cb1c7-c5c7-46d4-85ae-d83685407bba">
      <Url>https://swpp2.dms.gkpge.pl/sites/31/_layouts/15/DocIdRedir.aspx?ID=ZKQJDXMXURTQ-1645358399-13251</Url>
      <Description>ZKQJDXMXURTQ-1645358399-13251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BC3DE-7DB1-4278-ACD4-ECAF41F52693}"/>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E8E7046-3BF7-4984-9448-DBD66B66FAC7}">
  <ds:schemaRefs>
    <ds:schemaRef ds:uri="http://schemas.microsoft.com/sharepoint/events"/>
  </ds:schemaRefs>
</ds:datastoreItem>
</file>

<file path=customXml/itemProps6.xml><?xml version="1.0" encoding="utf-8"?>
<ds:datastoreItem xmlns:ds="http://schemas.openxmlformats.org/officeDocument/2006/customXml" ds:itemID="{644B90F7-BE4E-48F1-A75F-088DF83E8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2852</Words>
  <Characters>17116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POST/DYS/OLD/GZ/02831/2024</dc:subject>
  <dc:creator>Kurpiewska Katarzyna [PGE S.A.]</dc:creator>
  <cp:lastModifiedBy>Klimacki Dariusz [PGE Dystr. O.Łódź]</cp:lastModifiedBy>
  <cp:revision>7</cp:revision>
  <cp:lastPrinted>2021-02-26T13:14:00Z</cp:lastPrinted>
  <dcterms:created xsi:type="dcterms:W3CDTF">2023-09-19T05:03:00Z</dcterms:created>
  <dcterms:modified xsi:type="dcterms:W3CDTF">2024-09-27T05:17:00Z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09f5f2c5-3a0c-4dbb-b193-47bb03d9cb69</vt:lpwstr>
  </property>
</Properties>
</file>