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00321EB" w:rsidR="00B57327" w:rsidRPr="00156D62" w:rsidRDefault="00C244DC" w:rsidP="009757DF">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r w:rsidR="009757DF">
        <w:rPr>
          <w:rFonts w:cstheme="minorHAnsi"/>
          <w:color w:val="000000" w:themeColor="text1"/>
          <w:sz w:val="20"/>
          <w:szCs w:val="20"/>
        </w:rPr>
        <w:t xml:space="preserve">                                                 </w:t>
      </w:r>
      <w:r w:rsidR="00EE4265">
        <w:rPr>
          <w:rFonts w:cstheme="minorHAnsi"/>
          <w:color w:val="000000" w:themeColor="text1"/>
          <w:sz w:val="20"/>
          <w:szCs w:val="20"/>
        </w:rPr>
        <w:t>POST/DYS/OLD/GZ/0</w:t>
      </w:r>
      <w:r w:rsidR="00C23039">
        <w:rPr>
          <w:rFonts w:cstheme="minorHAnsi"/>
          <w:color w:val="000000" w:themeColor="text1"/>
          <w:sz w:val="20"/>
          <w:szCs w:val="20"/>
        </w:rPr>
        <w:t>2</w:t>
      </w:r>
      <w:r w:rsidR="0015765A">
        <w:rPr>
          <w:rFonts w:cstheme="minorHAnsi"/>
          <w:color w:val="000000" w:themeColor="text1"/>
          <w:sz w:val="20"/>
          <w:szCs w:val="20"/>
        </w:rPr>
        <w:t>7</w:t>
      </w:r>
      <w:r w:rsidR="00F26D61">
        <w:rPr>
          <w:rFonts w:cstheme="minorHAnsi"/>
          <w:color w:val="000000" w:themeColor="text1"/>
          <w:sz w:val="20"/>
          <w:szCs w:val="20"/>
        </w:rPr>
        <w:t>31</w:t>
      </w:r>
      <w:r w:rsidR="00B04ED7">
        <w:rPr>
          <w:rFonts w:cstheme="minorHAnsi"/>
          <w:color w:val="000000" w:themeColor="text1"/>
          <w:sz w:val="20"/>
          <w:szCs w:val="20"/>
        </w:rPr>
        <w:t>/2024</w:t>
      </w:r>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64BD8149" w14:textId="5B32D19C" w:rsidR="00EE2B69" w:rsidRPr="009757DF" w:rsidRDefault="00EE2B69" w:rsidP="009757DF">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077C961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CA7A5C">
        <w:rPr>
          <w:rFonts w:asciiTheme="minorHAnsi" w:hAnsiTheme="minorHAnsi" w:cstheme="minorHAnsi"/>
          <w:b/>
          <w:sz w:val="20"/>
          <w:lang w:eastAsia="pl-PL"/>
        </w:rPr>
        <w:t xml:space="preserve">                                w szczególności </w:t>
      </w:r>
      <w:r w:rsidRPr="004B4556">
        <w:rPr>
          <w:rFonts w:asciiTheme="minorHAnsi" w:hAnsiTheme="minorHAnsi" w:cstheme="minorHAnsi"/>
          <w:b/>
          <w:sz w:val="20"/>
          <w:lang w:eastAsia="pl-PL"/>
        </w:rPr>
        <w:t>wiedzę i doświadczenie oraz dysponują potencjałem technicznym i osobami zdolnymi do realizacji Zakupu</w:t>
      </w:r>
    </w:p>
    <w:p w14:paraId="44CA5092" w14:textId="50BE090D" w:rsidR="00EE2B69" w:rsidRPr="00F00665" w:rsidRDefault="00EE2B69" w:rsidP="00F26D61">
      <w:pPr>
        <w:pStyle w:val="Akapitzlist"/>
        <w:spacing w:before="60" w:after="120" w:line="240" w:lineRule="auto"/>
        <w:ind w:left="993"/>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w:t>
      </w:r>
      <w:r w:rsidR="00CA7A5C">
        <w:rPr>
          <w:rFonts w:asciiTheme="minorHAnsi" w:hAnsiTheme="minorHAnsi" w:cstheme="minorHAnsi"/>
          <w:sz w:val="20"/>
          <w:lang w:eastAsia="pl-PL"/>
        </w:rPr>
        <w:t>runku Wykonawcy powinni wykazać</w:t>
      </w:r>
      <w:r w:rsidRPr="00F00665">
        <w:rPr>
          <w:rFonts w:asciiTheme="minorHAnsi" w:hAnsiTheme="minorHAnsi" w:cstheme="minorHAnsi"/>
          <w:sz w:val="20"/>
          <w:lang w:eastAsia="pl-PL"/>
        </w:rPr>
        <w:t>, że:</w:t>
      </w:r>
    </w:p>
    <w:p w14:paraId="2F1FE21A" w14:textId="68767B1A" w:rsidR="00EE2B69" w:rsidRPr="00F26D61" w:rsidRDefault="00F26D61" w:rsidP="00F26D61">
      <w:pPr>
        <w:numPr>
          <w:ilvl w:val="0"/>
          <w:numId w:val="15"/>
        </w:numPr>
        <w:spacing w:before="120" w:after="120" w:line="240" w:lineRule="auto"/>
        <w:contextualSpacing/>
        <w:rPr>
          <w:rFonts w:asciiTheme="minorHAnsi" w:hAnsiTheme="minorHAnsi" w:cstheme="minorHAnsi"/>
          <w:b/>
          <w:i/>
          <w:snapToGrid w:val="0"/>
          <w:color w:val="002060"/>
          <w:sz w:val="20"/>
          <w:lang w:eastAsia="pl-PL"/>
        </w:rPr>
      </w:pPr>
      <w:r w:rsidRPr="00F26D61">
        <w:rPr>
          <w:rFonts w:asciiTheme="minorHAnsi" w:hAnsiTheme="minorHAnsi" w:cstheme="minorHAnsi"/>
          <w:snapToGrid w:val="0"/>
          <w:sz w:val="20"/>
          <w:lang w:eastAsia="pl-PL"/>
        </w:rPr>
        <w:t>Dysponują środkami transportu umożliwiającymi realizację czynno</w:t>
      </w:r>
      <w:r>
        <w:rPr>
          <w:rFonts w:asciiTheme="minorHAnsi" w:hAnsiTheme="minorHAnsi" w:cstheme="minorHAnsi"/>
          <w:snapToGrid w:val="0"/>
          <w:sz w:val="20"/>
          <w:lang w:eastAsia="pl-PL"/>
        </w:rPr>
        <w:t>ści objętych przedmiotem zakupu</w:t>
      </w:r>
      <w:r w:rsidR="00EE2B69" w:rsidRPr="00F26D61">
        <w:rPr>
          <w:rFonts w:asciiTheme="minorHAnsi" w:hAnsiTheme="minorHAnsi" w:cstheme="minorHAnsi"/>
          <w:snapToGrid w:val="0"/>
          <w:sz w:val="20"/>
          <w:lang w:eastAsia="pl-PL"/>
        </w:rPr>
        <w:t xml:space="preserve">, </w:t>
      </w:r>
    </w:p>
    <w:p w14:paraId="7531BCA9" w14:textId="3FACF23C" w:rsidR="00EE2B69" w:rsidRPr="00F00665" w:rsidRDefault="00EE2B69" w:rsidP="00B34270">
      <w:pPr>
        <w:spacing w:before="120" w:after="120" w:line="240" w:lineRule="auto"/>
        <w:ind w:left="1068"/>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00313E36">
        <w:rPr>
          <w:rFonts w:asciiTheme="minorHAnsi" w:hAnsiTheme="minorHAnsi" w:cstheme="minorHAnsi"/>
          <w:b/>
          <w:snapToGrid w:val="0"/>
          <w:sz w:val="20"/>
          <w:lang w:eastAsia="pl-PL"/>
        </w:rPr>
        <w:t>załącznik nr 6</w:t>
      </w:r>
      <w:r w:rsidRPr="00C95CF5">
        <w:rPr>
          <w:rFonts w:asciiTheme="minorHAnsi" w:hAnsiTheme="minorHAnsi" w:cstheme="minorHAnsi"/>
          <w:b/>
          <w:snapToGrid w:val="0"/>
          <w:sz w:val="20"/>
          <w:lang w:eastAsia="pl-PL"/>
        </w:rPr>
        <w:t xml:space="preserve"> do SWZ</w:t>
      </w:r>
      <w:r w:rsidR="00E56174">
        <w:rPr>
          <w:rFonts w:asciiTheme="minorHAnsi" w:hAnsiTheme="minorHAnsi" w:cstheme="minorHAnsi"/>
          <w:snapToGrid w:val="0"/>
          <w:sz w:val="20"/>
          <w:lang w:eastAsia="pl-PL"/>
        </w:rPr>
        <w:t>.</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0BE3ACE9" w14:textId="77777777" w:rsidR="00F26D61" w:rsidRPr="004B4556" w:rsidRDefault="00F26D61" w:rsidP="00F26D61">
      <w:pPr>
        <w:pStyle w:val="Akapitzlist"/>
        <w:spacing w:before="60" w:line="240" w:lineRule="auto"/>
        <w:ind w:left="993"/>
        <w:rPr>
          <w:rFonts w:asciiTheme="minorHAnsi" w:hAnsiTheme="minorHAnsi" w:cstheme="minorHAnsi"/>
          <w:sz w:val="20"/>
          <w:lang w:eastAsia="pl-PL"/>
        </w:rPr>
      </w:pPr>
      <w:r w:rsidRPr="001D0B50">
        <w:rPr>
          <w:rFonts w:asciiTheme="minorHAnsi" w:hAnsiTheme="minorHAnsi" w:cstheme="minorHAnsi"/>
          <w:sz w:val="20"/>
          <w:lang w:eastAsia="pl-PL"/>
        </w:rPr>
        <w:t xml:space="preserve">W celu potwierdzenia spełnienia warunku Wykonawcy winni wykazać, iż </w:t>
      </w:r>
      <w:r w:rsidRPr="00F26D61">
        <w:rPr>
          <w:rFonts w:asciiTheme="minorHAnsi" w:hAnsiTheme="minorHAnsi" w:cstheme="minorHAnsi"/>
          <w:sz w:val="20"/>
          <w:u w:val="single"/>
          <w:lang w:eastAsia="pl-PL"/>
        </w:rPr>
        <w:t>posiadają aktualną koncesję</w:t>
      </w:r>
      <w:r w:rsidRPr="001D0B50">
        <w:rPr>
          <w:rFonts w:asciiTheme="minorHAnsi" w:hAnsiTheme="minorHAnsi" w:cstheme="minorHAnsi"/>
          <w:sz w:val="20"/>
          <w:lang w:eastAsia="pl-PL"/>
        </w:rPr>
        <w:t xml:space="preserve"> na obrót paliwami ciekłymi (kserokopia aktualnej koncesji). Termin ważności koncesji musi obejmować termin realizacji przedmiotu zamówienia</w:t>
      </w:r>
      <w:r>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p>
    <w:p w14:paraId="386D1314" w14:textId="77777777" w:rsidR="00F26D61" w:rsidRPr="004B4556" w:rsidRDefault="00F26D61" w:rsidP="00F26D61">
      <w:pPr>
        <w:pStyle w:val="Akapitzlist"/>
        <w:spacing w:before="60" w:line="240" w:lineRule="auto"/>
        <w:ind w:left="993"/>
        <w:rPr>
          <w:rFonts w:asciiTheme="minorHAnsi" w:hAnsiTheme="minorHAnsi" w:cstheme="minorHAnsi"/>
          <w:sz w:val="20"/>
          <w:lang w:eastAsia="pl-PL"/>
        </w:rPr>
      </w:pPr>
    </w:p>
    <w:p w14:paraId="3DC772D6" w14:textId="4B81B517" w:rsidR="0015765A" w:rsidRDefault="00F26D61" w:rsidP="00F26D61">
      <w:pPr>
        <w:pStyle w:val="Akapitzlist"/>
        <w:spacing w:before="60" w:line="240" w:lineRule="auto"/>
        <w:ind w:left="993"/>
        <w:rPr>
          <w:rFonts w:asciiTheme="minorHAnsi" w:hAnsiTheme="minorHAnsi" w:cstheme="minorHAnsi"/>
          <w:sz w:val="20"/>
          <w:u w:val="single"/>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Pr>
          <w:rFonts w:asciiTheme="minorHAnsi" w:hAnsiTheme="minorHAnsi" w:cstheme="minorHAnsi"/>
          <w:bCs/>
          <w:sz w:val="20"/>
          <w:lang w:eastAsia="pl-PL"/>
        </w:rPr>
        <w:t>.</w:t>
      </w:r>
    </w:p>
    <w:p w14:paraId="17154602" w14:textId="77777777" w:rsidR="0015765A" w:rsidRDefault="0015765A" w:rsidP="0015765A">
      <w:pPr>
        <w:pStyle w:val="Akapitzlist"/>
        <w:spacing w:before="60" w:line="240" w:lineRule="auto"/>
        <w:ind w:left="786" w:firstLine="207"/>
        <w:rPr>
          <w:rFonts w:asciiTheme="minorHAnsi" w:hAnsiTheme="minorHAnsi" w:cstheme="minorHAnsi"/>
          <w:sz w:val="20"/>
          <w:u w:val="single"/>
          <w:lang w:eastAsia="pl-PL"/>
        </w:rPr>
      </w:pPr>
    </w:p>
    <w:p w14:paraId="7DBF1A01" w14:textId="204A8F61" w:rsidR="00EE2B69" w:rsidRPr="0015765A" w:rsidRDefault="0015765A" w:rsidP="0015765A">
      <w:pPr>
        <w:pStyle w:val="Akapitzlist"/>
        <w:spacing w:before="60" w:line="360" w:lineRule="auto"/>
        <w:ind w:left="0" w:firstLine="207"/>
        <w:rPr>
          <w:rFonts w:asciiTheme="minorHAnsi" w:hAnsiTheme="minorHAnsi" w:cstheme="minorHAnsi"/>
          <w:sz w:val="20"/>
          <w:u w:val="single"/>
          <w:lang w:eastAsia="pl-PL"/>
        </w:rPr>
      </w:pPr>
      <w:r w:rsidRPr="0015765A">
        <w:rPr>
          <w:rFonts w:asciiTheme="minorHAnsi" w:hAnsiTheme="minorHAnsi" w:cstheme="minorHAnsi"/>
          <w:sz w:val="20"/>
          <w:lang w:eastAsia="pl-PL"/>
        </w:rPr>
        <w:t xml:space="preserve">    </w:t>
      </w:r>
      <w:r w:rsidR="00EE2B69">
        <w:rPr>
          <w:rFonts w:asciiTheme="minorHAnsi" w:hAnsiTheme="minorHAnsi" w:cstheme="minorHAnsi"/>
          <w:b/>
          <w:sz w:val="20"/>
          <w:lang w:eastAsia="pl-PL"/>
        </w:rPr>
        <w:t>1.2.3. Z</w:t>
      </w:r>
      <w:r w:rsidR="00EE2B69" w:rsidRPr="004B4556">
        <w:rPr>
          <w:rFonts w:asciiTheme="minorHAnsi" w:hAnsiTheme="minorHAnsi" w:cstheme="minorHAnsi"/>
          <w:b/>
          <w:sz w:val="20"/>
          <w:lang w:eastAsia="pl-PL"/>
        </w:rPr>
        <w:t>najdują się w sytuacji ekonomicznej lub finansowej zapewniającej wykonanie Zakupu</w:t>
      </w:r>
    </w:p>
    <w:p w14:paraId="0F19F713" w14:textId="77777777" w:rsidR="00F26D61" w:rsidRPr="004B4556" w:rsidRDefault="00F26D61" w:rsidP="00F26D61">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p>
    <w:p w14:paraId="72284919" w14:textId="68BFC292" w:rsidR="00F26D61" w:rsidRPr="004B4556" w:rsidRDefault="00F26D61" w:rsidP="00F26D61">
      <w:pPr>
        <w:pStyle w:val="Akapitzlist"/>
        <w:numPr>
          <w:ilvl w:val="0"/>
          <w:numId w:val="13"/>
        </w:numPr>
        <w:spacing w:line="240" w:lineRule="auto"/>
        <w:ind w:left="1276" w:hanging="283"/>
        <w:rPr>
          <w:rFonts w:asciiTheme="minorHAnsi" w:hAnsiTheme="minorHAnsi" w:cstheme="minorHAnsi"/>
          <w:sz w:val="20"/>
          <w:lang w:eastAsia="pl-PL"/>
        </w:rPr>
      </w:pPr>
      <w:r w:rsidRPr="001D0B50">
        <w:rPr>
          <w:rFonts w:asciiTheme="minorHAnsi" w:hAnsiTheme="minorHAnsi" w:cstheme="minorHAnsi"/>
          <w:sz w:val="20"/>
          <w:lang w:eastAsia="pl-PL"/>
        </w:rPr>
        <w:t>Ubezpieczenie od odpowiedzialności cywilnej w zakresie pro</w:t>
      </w:r>
      <w:r>
        <w:rPr>
          <w:rFonts w:asciiTheme="minorHAnsi" w:hAnsiTheme="minorHAnsi" w:cstheme="minorHAnsi"/>
          <w:sz w:val="20"/>
          <w:lang w:eastAsia="pl-PL"/>
        </w:rPr>
        <w:t xml:space="preserve">wadzonej działalności związanej </w:t>
      </w:r>
      <w:r w:rsidRPr="001D0B50">
        <w:rPr>
          <w:rFonts w:asciiTheme="minorHAnsi" w:hAnsiTheme="minorHAnsi" w:cstheme="minorHAnsi"/>
          <w:sz w:val="20"/>
          <w:lang w:eastAsia="pl-PL"/>
        </w:rPr>
        <w:t>z przedmiotem zakupu na sumę gwarancyjną w wyso</w:t>
      </w:r>
      <w:r>
        <w:rPr>
          <w:rFonts w:asciiTheme="minorHAnsi" w:hAnsiTheme="minorHAnsi" w:cstheme="minorHAnsi"/>
          <w:sz w:val="20"/>
          <w:lang w:eastAsia="pl-PL"/>
        </w:rPr>
        <w:t xml:space="preserve">kości co najmniej 200 tys. zł. </w:t>
      </w:r>
      <w:r w:rsidRPr="001D0B50">
        <w:rPr>
          <w:rFonts w:asciiTheme="minorHAnsi" w:hAnsiTheme="minorHAnsi" w:cstheme="minorHAnsi"/>
          <w:sz w:val="20"/>
          <w:lang w:eastAsia="pl-PL"/>
        </w:rPr>
        <w:t>Ubezpieczenie powinno obejmować odpowiedzialność kontraktową i deliktową Wykonawcy</w:t>
      </w:r>
      <w:r>
        <w:rPr>
          <w:rFonts w:asciiTheme="minorHAnsi" w:hAnsiTheme="minorHAnsi" w:cstheme="minorHAnsi"/>
          <w:sz w:val="20"/>
          <w:lang w:eastAsia="pl-PL"/>
        </w:rPr>
        <w:t xml:space="preserve">. </w:t>
      </w:r>
    </w:p>
    <w:p w14:paraId="0E8942F0" w14:textId="77777777" w:rsidR="00F26D61" w:rsidRPr="004B4556" w:rsidRDefault="00F26D61" w:rsidP="00F26D61">
      <w:pPr>
        <w:pStyle w:val="Akapitzlist"/>
        <w:spacing w:line="240" w:lineRule="auto"/>
        <w:ind w:left="1353"/>
        <w:rPr>
          <w:rFonts w:asciiTheme="minorHAnsi" w:eastAsia="Calibri" w:hAnsiTheme="minorHAnsi" w:cstheme="minorHAnsi"/>
          <w:sz w:val="20"/>
        </w:rPr>
      </w:pPr>
    </w:p>
    <w:p w14:paraId="42D9B898" w14:textId="77777777" w:rsidR="00F26D61" w:rsidRPr="004B4556" w:rsidRDefault="00F26D61" w:rsidP="00F26D61">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Pr>
          <w:rFonts w:asciiTheme="minorHAnsi" w:hAnsiTheme="minorHAnsi" w:cstheme="minorHAnsi"/>
          <w:snapToGrid w:val="0"/>
          <w:sz w:val="20"/>
          <w:lang w:eastAsia="pl-PL"/>
        </w:rPr>
        <w:t>.</w:t>
      </w:r>
    </w:p>
    <w:p w14:paraId="358B7D08" w14:textId="77777777" w:rsidR="00F26D61" w:rsidRPr="004B4556" w:rsidRDefault="00F26D61" w:rsidP="00F26D61">
      <w:pPr>
        <w:spacing w:line="240" w:lineRule="auto"/>
        <w:ind w:left="993"/>
        <w:contextualSpacing/>
        <w:rPr>
          <w:rFonts w:asciiTheme="minorHAnsi" w:hAnsiTheme="minorHAnsi" w:cstheme="minorHAnsi"/>
          <w:snapToGrid w:val="0"/>
          <w:sz w:val="20"/>
          <w:lang w:eastAsia="pl-PL"/>
        </w:rPr>
      </w:pPr>
    </w:p>
    <w:p w14:paraId="60F294D2" w14:textId="43485F44" w:rsidR="00EE2B69" w:rsidRDefault="00F26D61" w:rsidP="00F26D61">
      <w:pPr>
        <w:spacing w:line="240" w:lineRule="auto"/>
        <w:ind w:left="993"/>
        <w:contextualSpacing/>
        <w:rPr>
          <w:rFonts w:asciiTheme="minorHAnsi" w:hAnsiTheme="minorHAnsi" w:cstheme="minorHAnsi"/>
          <w:sz w:val="20"/>
          <w:u w:val="single"/>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2FAC17D9" w14:textId="35FF3929" w:rsidR="0015765A" w:rsidRDefault="0015765A" w:rsidP="00EE2B69">
      <w:pPr>
        <w:spacing w:line="240" w:lineRule="auto"/>
        <w:contextualSpacing/>
        <w:rPr>
          <w:rFonts w:asciiTheme="minorHAnsi" w:hAnsiTheme="minorHAnsi" w:cstheme="minorHAnsi"/>
          <w:bCs/>
          <w:snapToGrid w:val="0"/>
          <w:sz w:val="20"/>
          <w:lang w:eastAsia="pl-PL"/>
        </w:rPr>
      </w:pPr>
    </w:p>
    <w:p w14:paraId="1B40B070" w14:textId="5BA86685" w:rsidR="00B34270" w:rsidRDefault="00B34270" w:rsidP="00EE2B69">
      <w:pPr>
        <w:spacing w:line="240" w:lineRule="auto"/>
        <w:contextualSpacing/>
        <w:rPr>
          <w:rFonts w:asciiTheme="minorHAnsi" w:hAnsiTheme="minorHAnsi" w:cstheme="minorHAnsi"/>
          <w:bCs/>
          <w:snapToGrid w:val="0"/>
          <w:sz w:val="20"/>
          <w:lang w:eastAsia="pl-PL"/>
        </w:rPr>
      </w:pPr>
    </w:p>
    <w:p w14:paraId="6671E2AB" w14:textId="210D1699" w:rsidR="00B34270" w:rsidRDefault="00B34270" w:rsidP="00EE2B69">
      <w:pPr>
        <w:spacing w:line="240" w:lineRule="auto"/>
        <w:contextualSpacing/>
        <w:rPr>
          <w:rFonts w:asciiTheme="minorHAnsi" w:hAnsiTheme="minorHAnsi" w:cstheme="minorHAnsi"/>
          <w:bCs/>
          <w:snapToGrid w:val="0"/>
          <w:sz w:val="20"/>
          <w:lang w:eastAsia="pl-PL"/>
        </w:rPr>
      </w:pPr>
    </w:p>
    <w:p w14:paraId="0E28A009" w14:textId="6292D1CD" w:rsidR="00B34270" w:rsidRDefault="00B34270" w:rsidP="00EE2B69">
      <w:pPr>
        <w:spacing w:line="240" w:lineRule="auto"/>
        <w:contextualSpacing/>
        <w:rPr>
          <w:rFonts w:asciiTheme="minorHAnsi" w:hAnsiTheme="minorHAnsi" w:cstheme="minorHAnsi"/>
          <w:bCs/>
          <w:snapToGrid w:val="0"/>
          <w:sz w:val="20"/>
          <w:lang w:eastAsia="pl-PL"/>
        </w:rPr>
      </w:pPr>
    </w:p>
    <w:p w14:paraId="35879F28" w14:textId="77777777" w:rsidR="00B34270" w:rsidRPr="004B4556" w:rsidRDefault="00B34270" w:rsidP="00EE2B69">
      <w:pPr>
        <w:spacing w:line="240" w:lineRule="auto"/>
        <w:contextualSpacing/>
        <w:rPr>
          <w:rFonts w:asciiTheme="minorHAnsi" w:hAnsiTheme="minorHAnsi" w:cstheme="minorHAnsi"/>
          <w:bCs/>
          <w:snapToGrid w:val="0"/>
          <w:sz w:val="20"/>
          <w:lang w:eastAsia="pl-PL"/>
        </w:rPr>
      </w:pPr>
      <w:bookmarkStart w:id="2" w:name="_GoBack"/>
      <w:bookmarkEnd w:id="2"/>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234F8C2B" w14:textId="77777777" w:rsidR="00395A40" w:rsidRDefault="00EE2B69" w:rsidP="00395A40">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3C347D2" w14:textId="77777777"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395A40">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95A40">
        <w:rPr>
          <w:rFonts w:asciiTheme="minorHAnsi" w:eastAsia="Calibri" w:hAnsiTheme="minorHAnsi" w:cstheme="minorHAnsi"/>
          <w:b/>
          <w:sz w:val="20"/>
        </w:rPr>
        <w:t>Załącznik nr 4 do SWZ</w:t>
      </w:r>
      <w:r w:rsidRPr="00395A40">
        <w:rPr>
          <w:rFonts w:asciiTheme="minorHAnsi" w:eastAsia="Calibri" w:hAnsiTheme="minorHAnsi" w:cstheme="minorHAnsi"/>
          <w:sz w:val="20"/>
        </w:rPr>
        <w:t>.</w:t>
      </w:r>
    </w:p>
    <w:p w14:paraId="360DE26C" w14:textId="77777777"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1B06BB">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w:t>
      </w:r>
      <w:r w:rsidRPr="001B06BB">
        <w:rPr>
          <w:rFonts w:asciiTheme="minorHAnsi" w:eastAsia="Calibri" w:hAnsiTheme="minorHAnsi" w:cstheme="minorHAnsi"/>
          <w:b/>
          <w:iCs/>
          <w:sz w:val="20"/>
        </w:rPr>
        <w:t>9.4.2.7</w:t>
      </w:r>
      <w:r w:rsidRPr="001B06BB">
        <w:rPr>
          <w:rFonts w:asciiTheme="minorHAnsi" w:eastAsia="Calibri" w:hAnsiTheme="minorHAnsi" w:cstheme="minorHAnsi"/>
          <w:iCs/>
          <w:sz w:val="20"/>
        </w:rPr>
        <w:t xml:space="preserve"> Procedury </w:t>
      </w:r>
      <w:r w:rsidRPr="001B06BB">
        <w:rPr>
          <w:rFonts w:asciiTheme="minorHAnsi" w:eastAsia="Calibri" w:hAnsiTheme="minorHAnsi" w:cstheme="minorHAnsi"/>
          <w:i/>
          <w:iCs/>
          <w:sz w:val="20"/>
        </w:rPr>
        <w:t>(w przypadku konsorcjum, przedmiotowe dokumenty składa każdy z tych podmiotów).</w:t>
      </w:r>
      <w:r w:rsidRPr="001B06BB">
        <w:rPr>
          <w:rFonts w:asciiTheme="minorHAnsi" w:eastAsia="Calibri" w:hAnsiTheme="minorHAnsi" w:cstheme="minorHAnsi"/>
          <w:sz w:val="20"/>
        </w:rPr>
        <w:t xml:space="preserve"> (</w:t>
      </w:r>
      <w:r w:rsidRPr="001B06BB">
        <w:rPr>
          <w:rFonts w:asciiTheme="minorHAnsi" w:eastAsia="Calibri" w:hAnsiTheme="minorHAnsi" w:cstheme="minorHAnsi"/>
          <w:i/>
          <w:sz w:val="20"/>
        </w:rPr>
        <w:t>jeżeli Wykonawcy wspólnie ubiegają się o udzielenie zamówienia dokument składa każdy z nich)</w:t>
      </w:r>
      <w:r w:rsidRPr="001B06BB">
        <w:rPr>
          <w:rFonts w:asciiTheme="minorHAnsi" w:eastAsia="Calibri" w:hAnsiTheme="minorHAnsi" w:cstheme="minorHAnsi"/>
          <w:sz w:val="20"/>
        </w:rPr>
        <w:t>;</w:t>
      </w:r>
    </w:p>
    <w:p w14:paraId="6050868B"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1B06BB">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04C4FD9" w14:textId="3D27C418" w:rsidR="001B06BB" w:rsidRPr="00F26D61" w:rsidRDefault="00F26D61" w:rsidP="000C7DB2">
      <w:pPr>
        <w:pStyle w:val="Akapitzlist"/>
        <w:numPr>
          <w:ilvl w:val="1"/>
          <w:numId w:val="4"/>
        </w:numPr>
        <w:shd w:val="clear" w:color="auto" w:fill="FFFFFF" w:themeFill="background1"/>
        <w:spacing w:line="260" w:lineRule="exact"/>
        <w:rPr>
          <w:rFonts w:asciiTheme="minorHAnsi" w:hAnsiTheme="minorHAnsi" w:cstheme="minorHAnsi"/>
          <w:i/>
          <w:sz w:val="20"/>
          <w:lang w:eastAsia="pl-PL"/>
        </w:rPr>
      </w:pPr>
      <w:r w:rsidRPr="00E763A5">
        <w:rPr>
          <w:rFonts w:asciiTheme="minorHAnsi" w:eastAsia="Calibri" w:hAnsiTheme="minorHAnsi" w:cstheme="minorHAnsi"/>
          <w:sz w:val="20"/>
        </w:rPr>
        <w:t xml:space="preserve">Wykaz potencjału technicznego, o którym mowa w pkt </w:t>
      </w:r>
      <w:r>
        <w:rPr>
          <w:rFonts w:asciiTheme="minorHAnsi" w:eastAsia="Calibri" w:hAnsiTheme="minorHAnsi" w:cstheme="minorHAnsi"/>
          <w:sz w:val="20"/>
        </w:rPr>
        <w:t>1.2.1. a)</w:t>
      </w:r>
      <w:r w:rsidRPr="00E763A5">
        <w:rPr>
          <w:rFonts w:asciiTheme="minorHAnsi" w:eastAsia="Calibri" w:hAnsiTheme="minorHAnsi" w:cstheme="minorHAnsi"/>
          <w:sz w:val="20"/>
        </w:rPr>
        <w:t xml:space="preserve"> powyżej (</w:t>
      </w:r>
      <w:r w:rsidRPr="003E61E0">
        <w:rPr>
          <w:rFonts w:asciiTheme="minorHAnsi" w:eastAsia="Calibri" w:hAnsiTheme="minorHAnsi" w:cstheme="minorHAnsi"/>
          <w:b/>
          <w:sz w:val="20"/>
        </w:rPr>
        <w:t>zg</w:t>
      </w:r>
      <w:r>
        <w:rPr>
          <w:rFonts w:asciiTheme="minorHAnsi" w:eastAsia="Calibri" w:hAnsiTheme="minorHAnsi" w:cstheme="minorHAnsi"/>
          <w:b/>
          <w:sz w:val="20"/>
        </w:rPr>
        <w:t>odnie z treścią  Załącznika nr 6</w:t>
      </w:r>
      <w:r w:rsidRPr="003E61E0">
        <w:rPr>
          <w:rFonts w:asciiTheme="minorHAnsi" w:eastAsia="Calibri" w:hAnsiTheme="minorHAnsi" w:cstheme="minorHAnsi"/>
          <w:b/>
          <w:sz w:val="20"/>
        </w:rPr>
        <w:t xml:space="preserve"> do SWZ</w:t>
      </w:r>
      <w:r w:rsidRPr="00E763A5">
        <w:rPr>
          <w:rFonts w:asciiTheme="minorHAnsi" w:eastAsia="Calibri" w:hAnsiTheme="minorHAnsi" w:cstheme="minorHAnsi"/>
          <w:sz w:val="20"/>
        </w:rPr>
        <w:t>)</w:t>
      </w:r>
      <w:r>
        <w:rPr>
          <w:rFonts w:asciiTheme="minorHAnsi" w:eastAsia="Calibri" w:hAnsiTheme="minorHAnsi" w:cstheme="minorHAnsi"/>
          <w:bCs/>
          <w:sz w:val="20"/>
        </w:rPr>
        <w:t>;</w:t>
      </w:r>
    </w:p>
    <w:p w14:paraId="4D9A1DEB" w14:textId="7B4ADFDF" w:rsidR="00F26D61" w:rsidRPr="00F26D61" w:rsidRDefault="00F26D61" w:rsidP="000C7DB2">
      <w:pPr>
        <w:pStyle w:val="Akapitzlist"/>
        <w:numPr>
          <w:ilvl w:val="1"/>
          <w:numId w:val="4"/>
        </w:numPr>
        <w:shd w:val="clear" w:color="auto" w:fill="FFFFFF" w:themeFill="background1"/>
        <w:spacing w:line="260" w:lineRule="exact"/>
        <w:rPr>
          <w:rFonts w:asciiTheme="minorHAnsi" w:hAnsiTheme="minorHAnsi" w:cstheme="minorHAnsi"/>
          <w:i/>
          <w:sz w:val="20"/>
          <w:lang w:eastAsia="pl-PL"/>
        </w:rPr>
      </w:pPr>
      <w:r w:rsidRPr="001D0B50">
        <w:rPr>
          <w:rFonts w:asciiTheme="minorHAnsi" w:eastAsia="Calibri" w:hAnsiTheme="minorHAnsi" w:cstheme="minorHAnsi"/>
          <w:sz w:val="20"/>
        </w:rPr>
        <w:t>Aktualną koncesję na obrót paliwami ciekłymi (kserokopia aktualnej koncesji). Termin ważności koncesji musi obejmować termin realizacji przedmiotu zamówienia, o którym mowa w pkt 1.2.2. powyżej</w:t>
      </w:r>
      <w:r w:rsidRPr="00E763A5">
        <w:rPr>
          <w:rFonts w:asciiTheme="minorHAnsi" w:eastAsia="Calibri" w:hAnsiTheme="minorHAnsi" w:cstheme="minorHAnsi"/>
          <w:sz w:val="20"/>
        </w:rPr>
        <w:t>;</w:t>
      </w:r>
    </w:p>
    <w:p w14:paraId="027B7663" w14:textId="3BCE1B14" w:rsidR="00F26D61" w:rsidRPr="00F26D61" w:rsidRDefault="00F26D61" w:rsidP="000C7DB2">
      <w:pPr>
        <w:pStyle w:val="Akapitzlist"/>
        <w:numPr>
          <w:ilvl w:val="1"/>
          <w:numId w:val="4"/>
        </w:numPr>
        <w:shd w:val="clear" w:color="auto" w:fill="FFFFFF" w:themeFill="background1"/>
        <w:spacing w:line="260" w:lineRule="exact"/>
        <w:rPr>
          <w:rFonts w:asciiTheme="minorHAnsi" w:hAnsiTheme="minorHAnsi" w:cstheme="minorHAnsi"/>
          <w:i/>
          <w:sz w:val="20"/>
          <w:lang w:eastAsia="pl-PL"/>
        </w:rPr>
      </w:pPr>
      <w:r w:rsidRPr="001B06BB">
        <w:rPr>
          <w:rFonts w:asciiTheme="minorHAnsi" w:eastAsia="Calibri" w:hAnsiTheme="minorHAnsi" w:cstheme="minorHAnsi"/>
          <w:sz w:val="20"/>
        </w:rPr>
        <w:t>Dokument potwierdzający, że Wykonawca jest ubezpieczony od odpowiedzialności cywilnej, o której mowa w pkt 1.2.3. a) powyżej, w zakresie prowadzonej działalności związanej z przedmiotem zamówienia</w:t>
      </w:r>
      <w:r w:rsidRPr="001B06BB">
        <w:rPr>
          <w:rFonts w:asciiTheme="minorHAnsi" w:eastAsia="Calibri" w:hAnsiTheme="minorHAnsi" w:cstheme="minorHAnsi"/>
          <w:sz w:val="20"/>
        </w:rPr>
        <w:br/>
        <w:t xml:space="preserve">ze wskazaniem sumy gwarancyjnej tego ubezpieczenia, </w:t>
      </w:r>
      <w:r w:rsidRPr="001B06BB">
        <w:rPr>
          <w:rFonts w:asciiTheme="minorHAnsi" w:eastAsia="Calibri" w:hAnsiTheme="minorHAnsi" w:cstheme="minorHAnsi"/>
          <w:sz w:val="20"/>
          <w:u w:val="single"/>
        </w:rPr>
        <w:t>wraz z dokumentem potwierdzającym opłacenie składki ubezpieczeniowe</w:t>
      </w:r>
      <w:r w:rsidRPr="001B06BB">
        <w:rPr>
          <w:rFonts w:asciiTheme="minorHAnsi" w:eastAsia="Calibri" w:hAnsiTheme="minorHAnsi" w:cstheme="minorHAnsi"/>
          <w:sz w:val="20"/>
        </w:rPr>
        <w:t>j</w:t>
      </w:r>
      <w:r>
        <w:rPr>
          <w:rFonts w:asciiTheme="minorHAnsi" w:eastAsia="Calibri" w:hAnsiTheme="minorHAnsi" w:cstheme="minorHAnsi"/>
          <w:sz w:val="20"/>
        </w:rPr>
        <w:t>;</w:t>
      </w:r>
    </w:p>
    <w:p w14:paraId="6CF1B4B1" w14:textId="1FF422CD" w:rsidR="00F26D61" w:rsidRPr="00CA7A5C" w:rsidRDefault="00F26D61" w:rsidP="000C7DB2">
      <w:pPr>
        <w:pStyle w:val="Akapitzlist"/>
        <w:numPr>
          <w:ilvl w:val="1"/>
          <w:numId w:val="4"/>
        </w:numPr>
        <w:shd w:val="clear" w:color="auto" w:fill="FFFFFF" w:themeFill="background1"/>
        <w:spacing w:line="260" w:lineRule="exact"/>
        <w:rPr>
          <w:rFonts w:asciiTheme="minorHAnsi" w:hAnsiTheme="minorHAnsi" w:cstheme="minorHAnsi"/>
          <w:i/>
          <w:sz w:val="20"/>
          <w:lang w:eastAsia="pl-PL"/>
        </w:rPr>
      </w:pPr>
      <w:r w:rsidRPr="007D5C67">
        <w:rPr>
          <w:rFonts w:asciiTheme="minorHAnsi" w:eastAsia="Calibri" w:hAnsiTheme="minorHAnsi" w:cstheme="minorHAnsi"/>
          <w:b/>
          <w:sz w:val="20"/>
        </w:rPr>
        <w:t>Wydruk ze strony internetowej potwierdzający prawidłowość ceny wskazanej w Formularzu Ofertowym</w:t>
      </w:r>
      <w:r>
        <w:rPr>
          <w:rFonts w:asciiTheme="minorHAnsi" w:eastAsia="Calibri" w:hAnsiTheme="minorHAnsi" w:cstheme="minorHAnsi"/>
          <w:b/>
          <w:sz w:val="20"/>
        </w:rPr>
        <w:t>.</w:t>
      </w:r>
    </w:p>
    <w:p w14:paraId="7469A160" w14:textId="77777777"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1B06BB">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w:t>
      </w:r>
      <w:r w:rsidRPr="001B06BB">
        <w:rPr>
          <w:rFonts w:asciiTheme="minorHAnsi" w:eastAsia="Calibri" w:hAnsiTheme="minorHAnsi" w:cstheme="minorHAnsi"/>
          <w:sz w:val="20"/>
        </w:rPr>
        <w:lastRenderedPageBreak/>
        <w:t>uzyskanie tych dokumentów za pomocą bezpłatnych i ogólnodostępnych baz danych, w szczególności rejestrów publicznych.</w:t>
      </w:r>
    </w:p>
    <w:p w14:paraId="4E87163C"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1B06BB">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3538AB1"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9EACCF6" w14:textId="7BA52365" w:rsidR="000C7DB2" w:rsidRDefault="00EE2B69" w:rsidP="000C7DB2">
      <w:pPr>
        <w:pStyle w:val="Akapitzlist"/>
        <w:shd w:val="clear" w:color="auto" w:fill="FFFFFF" w:themeFill="background1"/>
        <w:spacing w:line="260" w:lineRule="exact"/>
        <w:ind w:left="360"/>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0B29A9">
        <w:rPr>
          <w:rFonts w:asciiTheme="minorHAnsi" w:eastAsia="Calibri" w:hAnsiTheme="minorHAnsi" w:cstheme="minorHAnsi"/>
          <w:sz w:val="20"/>
        </w:rPr>
        <w:t xml:space="preserve">                             </w:t>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350B876A" w14:textId="77777777" w:rsidR="000C7DB2" w:rsidRPr="000C7DB2" w:rsidRDefault="000C7DB2" w:rsidP="000C7DB2">
      <w:pPr>
        <w:pStyle w:val="Akapitzlist"/>
        <w:shd w:val="clear" w:color="auto" w:fill="FFFFFF" w:themeFill="background1"/>
        <w:spacing w:line="260" w:lineRule="exact"/>
        <w:ind w:left="360"/>
        <w:rPr>
          <w:rFonts w:asciiTheme="minorHAnsi" w:eastAsia="Calibri" w:hAnsiTheme="minorHAnsi" w:cstheme="minorHAnsi"/>
          <w:sz w:val="20"/>
        </w:rPr>
      </w:pP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583B6414"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0A5C4EE" w14:textId="7FDC240D" w:rsidR="006C5865" w:rsidRPr="000C7DB2" w:rsidRDefault="00EE2B69" w:rsidP="006C5865">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1C0CD8CD" w14:textId="353FC024" w:rsidR="00B42F37" w:rsidRDefault="00EE2B69" w:rsidP="0088183F">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w:t>
      </w:r>
      <w:r w:rsidR="00B42F37">
        <w:rPr>
          <w:rFonts w:asciiTheme="minorHAnsi" w:hAnsiTheme="minorHAnsi" w:cstheme="minorHAnsi"/>
          <w:sz w:val="20"/>
        </w:rPr>
        <w:t xml:space="preserve"> jednego wspólnego pełnomocnika.</w:t>
      </w:r>
    </w:p>
    <w:p w14:paraId="2EECA00F" w14:textId="4ECEEEEC"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sidR="00AF6561">
        <w:rPr>
          <w:rFonts w:asciiTheme="minorHAnsi" w:hAnsiTheme="minorHAnsi" w:cstheme="minorHAnsi"/>
          <w:sz w:val="20"/>
        </w:rPr>
        <w:t>2.7.,</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0C7DB2">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1775CEBD"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lastRenderedPageBreak/>
        <w:t xml:space="preserve">W przypadku wspólnego ubiegania się podmiotów o udzielenie zamówienia na podstawie zawartej umowy, każdy z Wykonawców dołącza do oferty dokumenty wymienione w pkt 2.2., 2.3., 3.3., 3.4., 3.5. i 3.6., zaś podane w </w:t>
      </w:r>
      <w:r w:rsidR="00612E54">
        <w:rPr>
          <w:rFonts w:asciiTheme="minorHAnsi" w:hAnsiTheme="minorHAnsi" w:cstheme="minorHAnsi"/>
          <w:sz w:val="20"/>
        </w:rPr>
        <w:t xml:space="preserve">pkt 2.1., 2.4., 2.5.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EE01C" w14:textId="77777777" w:rsidR="00A7155B" w:rsidRDefault="00A7155B" w:rsidP="004A302B">
      <w:pPr>
        <w:spacing w:line="240" w:lineRule="auto"/>
      </w:pPr>
      <w:r>
        <w:separator/>
      </w:r>
    </w:p>
  </w:endnote>
  <w:endnote w:type="continuationSeparator" w:id="0">
    <w:p w14:paraId="4E0FE109" w14:textId="77777777" w:rsidR="00A7155B" w:rsidRDefault="00A7155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BB4D3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3427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34270">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5089E" w14:textId="77777777" w:rsidR="00A7155B" w:rsidRDefault="00A7155B" w:rsidP="004A302B">
      <w:pPr>
        <w:spacing w:line="240" w:lineRule="auto"/>
      </w:pPr>
      <w:r>
        <w:separator/>
      </w:r>
    </w:p>
  </w:footnote>
  <w:footnote w:type="continuationSeparator" w:id="0">
    <w:p w14:paraId="5CF5AB67" w14:textId="77777777" w:rsidR="00A7155B" w:rsidRDefault="00A7155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9088B" w14:textId="77777777" w:rsidR="00F12C96" w:rsidRDefault="00F12C96" w:rsidP="00F12C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6FE5357B" w14:textId="19727213" w:rsidR="00F12C96" w:rsidRPr="00A31C7C" w:rsidRDefault="00F12C96" w:rsidP="00F12C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45E3D5CE064A4BEDABB0B21DA3A04C6F"/>
        </w:placeholder>
        <w:dataBinding w:prefixMappings="xmlns:ns0='http://schemas.openxmlformats.org/package/2006/metadata/core-properties' xmlns:ns1='http://purl.org/dc/elements/1.1/'" w:xpath="/ns0:coreProperties[1]/ns1:subject[1]" w:storeItemID="{6C3C8BC8-F283-45AE-878A-BAB7291924A1}"/>
        <w:text/>
      </w:sdtPr>
      <w:sdtEndPr/>
      <w:sdtContent>
        <w:r w:rsidR="00EE4265">
          <w:rPr>
            <w:rFonts w:asciiTheme="minorHAnsi" w:hAnsiTheme="minorHAnsi" w:cstheme="minorHAnsi"/>
            <w:b/>
            <w:sz w:val="18"/>
            <w:szCs w:val="18"/>
          </w:rPr>
          <w:t>POST/DYS/OLD/GZ/0</w:t>
        </w:r>
        <w:r w:rsidR="00F26D61">
          <w:rPr>
            <w:rFonts w:asciiTheme="minorHAnsi" w:hAnsiTheme="minorHAnsi" w:cstheme="minorHAnsi"/>
            <w:b/>
            <w:sz w:val="18"/>
            <w:szCs w:val="18"/>
          </w:rPr>
          <w:t>2</w:t>
        </w:r>
        <w:r w:rsidR="0015765A">
          <w:rPr>
            <w:rFonts w:asciiTheme="minorHAnsi" w:hAnsiTheme="minorHAnsi" w:cstheme="minorHAnsi"/>
            <w:b/>
            <w:sz w:val="18"/>
            <w:szCs w:val="18"/>
          </w:rPr>
          <w:t>7</w:t>
        </w:r>
        <w:r w:rsidR="00F26D61">
          <w:rPr>
            <w:rFonts w:asciiTheme="minorHAnsi" w:hAnsiTheme="minorHAnsi" w:cstheme="minorHAnsi"/>
            <w:b/>
            <w:sz w:val="18"/>
            <w:szCs w:val="18"/>
          </w:rPr>
          <w:t>31</w:t>
        </w:r>
        <w:r w:rsidR="00B04ED7">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741AB8A" wp14:editId="09BF29E8">
          <wp:simplePos x="0" y="0"/>
          <wp:positionH relativeFrom="column">
            <wp:posOffset>-289560</wp:posOffset>
          </wp:positionH>
          <wp:positionV relativeFrom="paragraph">
            <wp:posOffset>-235585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40866302"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8891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A6B269F6"/>
    <w:lvl w:ilvl="0" w:tplc="A2BCB608">
      <w:start w:val="1"/>
      <w:numFmt w:val="lowerLetter"/>
      <w:lvlText w:val="%1)"/>
      <w:lvlJc w:val="left"/>
      <w:pPr>
        <w:ind w:left="1068" w:hanging="360"/>
      </w:pPr>
      <w:rPr>
        <w:b/>
        <w:i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F32"/>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83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29A9"/>
    <w:rsid w:val="000B3117"/>
    <w:rsid w:val="000B36E9"/>
    <w:rsid w:val="000B4623"/>
    <w:rsid w:val="000B5CB4"/>
    <w:rsid w:val="000B7143"/>
    <w:rsid w:val="000C0044"/>
    <w:rsid w:val="000C16FD"/>
    <w:rsid w:val="000C2197"/>
    <w:rsid w:val="000C246E"/>
    <w:rsid w:val="000C2E11"/>
    <w:rsid w:val="000C3A88"/>
    <w:rsid w:val="000C5FE9"/>
    <w:rsid w:val="000C6B4C"/>
    <w:rsid w:val="000C7DB2"/>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65A"/>
    <w:rsid w:val="00157C01"/>
    <w:rsid w:val="00160A93"/>
    <w:rsid w:val="00161CAB"/>
    <w:rsid w:val="001630E0"/>
    <w:rsid w:val="0016409F"/>
    <w:rsid w:val="00164E13"/>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00C"/>
    <w:rsid w:val="001A0AD4"/>
    <w:rsid w:val="001A23D7"/>
    <w:rsid w:val="001A269F"/>
    <w:rsid w:val="001A33A9"/>
    <w:rsid w:val="001A4CE9"/>
    <w:rsid w:val="001A61EF"/>
    <w:rsid w:val="001A65A8"/>
    <w:rsid w:val="001A70C2"/>
    <w:rsid w:val="001A78F7"/>
    <w:rsid w:val="001B06BB"/>
    <w:rsid w:val="001B087C"/>
    <w:rsid w:val="001B0A76"/>
    <w:rsid w:val="001B22DF"/>
    <w:rsid w:val="001B24CC"/>
    <w:rsid w:val="001B396C"/>
    <w:rsid w:val="001B3E7F"/>
    <w:rsid w:val="001B5C6C"/>
    <w:rsid w:val="001B6ABA"/>
    <w:rsid w:val="001B7E8D"/>
    <w:rsid w:val="001C1756"/>
    <w:rsid w:val="001C208C"/>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6F0F"/>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57DA"/>
    <w:rsid w:val="002C62F5"/>
    <w:rsid w:val="002C6CE5"/>
    <w:rsid w:val="002C7E68"/>
    <w:rsid w:val="002D431C"/>
    <w:rsid w:val="002D5706"/>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E36"/>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A40"/>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2EF"/>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503"/>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2E54"/>
    <w:rsid w:val="00614E41"/>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65"/>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80C"/>
    <w:rsid w:val="00812F97"/>
    <w:rsid w:val="00812FA4"/>
    <w:rsid w:val="008149F6"/>
    <w:rsid w:val="008151CA"/>
    <w:rsid w:val="008170FC"/>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183F"/>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7DF"/>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6F0"/>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33"/>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5B"/>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6561"/>
    <w:rsid w:val="00AF7AC1"/>
    <w:rsid w:val="00AF7C48"/>
    <w:rsid w:val="00B01A16"/>
    <w:rsid w:val="00B029AB"/>
    <w:rsid w:val="00B030AF"/>
    <w:rsid w:val="00B048B8"/>
    <w:rsid w:val="00B04BD8"/>
    <w:rsid w:val="00B04ED7"/>
    <w:rsid w:val="00B06158"/>
    <w:rsid w:val="00B0651F"/>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270"/>
    <w:rsid w:val="00B346DC"/>
    <w:rsid w:val="00B352D2"/>
    <w:rsid w:val="00B35536"/>
    <w:rsid w:val="00B357E8"/>
    <w:rsid w:val="00B35A0F"/>
    <w:rsid w:val="00B36BAE"/>
    <w:rsid w:val="00B36DF0"/>
    <w:rsid w:val="00B37A8F"/>
    <w:rsid w:val="00B41674"/>
    <w:rsid w:val="00B4174F"/>
    <w:rsid w:val="00B425A6"/>
    <w:rsid w:val="00B42A00"/>
    <w:rsid w:val="00B42F37"/>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3039"/>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323"/>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A7A5C"/>
    <w:rsid w:val="00CB0C05"/>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56B8"/>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1555"/>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174"/>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265"/>
    <w:rsid w:val="00EE4B8A"/>
    <w:rsid w:val="00EE5F45"/>
    <w:rsid w:val="00EE76C8"/>
    <w:rsid w:val="00EE7E0A"/>
    <w:rsid w:val="00EF17BA"/>
    <w:rsid w:val="00EF20BE"/>
    <w:rsid w:val="00EF2AD5"/>
    <w:rsid w:val="00EF5049"/>
    <w:rsid w:val="00EF7DD4"/>
    <w:rsid w:val="00F00B3C"/>
    <w:rsid w:val="00F0112B"/>
    <w:rsid w:val="00F011BC"/>
    <w:rsid w:val="00F023E1"/>
    <w:rsid w:val="00F04774"/>
    <w:rsid w:val="00F12C96"/>
    <w:rsid w:val="00F1450E"/>
    <w:rsid w:val="00F158A3"/>
    <w:rsid w:val="00F165ED"/>
    <w:rsid w:val="00F16DCF"/>
    <w:rsid w:val="00F2017D"/>
    <w:rsid w:val="00F2052C"/>
    <w:rsid w:val="00F226AB"/>
    <w:rsid w:val="00F24980"/>
    <w:rsid w:val="00F259B6"/>
    <w:rsid w:val="00F26D61"/>
    <w:rsid w:val="00F30A5E"/>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E3D5CE064A4BEDABB0B21DA3A04C6F"/>
        <w:category>
          <w:name w:val="Ogólne"/>
          <w:gallery w:val="placeholder"/>
        </w:category>
        <w:types>
          <w:type w:val="bbPlcHdr"/>
        </w:types>
        <w:behaviors>
          <w:behavior w:val="content"/>
        </w:behaviors>
        <w:guid w:val="{D63C3476-FB61-444B-A733-FEF2C2FB84E4}"/>
      </w:docPartPr>
      <w:docPartBody>
        <w:p w:rsidR="008522E7" w:rsidRDefault="00F376DD" w:rsidP="00F376DD">
          <w:pPr>
            <w:pStyle w:val="45E3D5CE064A4BEDABB0B21DA3A04C6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DD"/>
    <w:rsid w:val="008522E7"/>
    <w:rsid w:val="00F37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5E3D5CE064A4BEDABB0B21DA3A04C6F">
    <w:name w:val="45E3D5CE064A4BEDABB0B21DA3A04C6F"/>
    <w:rsid w:val="00F37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postepowaniu.docx</dmsv2BaseFileName>
    <dmsv2BaseDisplayName xmlns="http://schemas.microsoft.com/sharepoint/v3">Załącznik nr 2 do SWZ - Warunki udziału w postepowaniu</dmsv2BaseDisplayName>
    <dmsv2SWPP2ObjectNumber xmlns="http://schemas.microsoft.com/sharepoint/v3">POST/DYS/OLD/GZ/02731/2024                        </dmsv2SWPP2ObjectNumber>
    <dmsv2SWPP2SumMD5 xmlns="http://schemas.microsoft.com/sharepoint/v3">0c983396599e262c0999e2e116753074</dmsv2SWPP2SumMD5>
    <dmsv2BaseMoved xmlns="http://schemas.microsoft.com/sharepoint/v3">false</dmsv2BaseMoved>
    <dmsv2BaseIsSensitive xmlns="http://schemas.microsoft.com/sharepoint/v3">true</dmsv2BaseIsSensitive>
    <dmsv2SWPP2IDSWPP2 xmlns="http://schemas.microsoft.com/sharepoint/v3">656165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20563490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ZKQJDXMXURTQ-23589584-27855</_dlc_DocId>
    <_dlc_DocIdUrl xmlns="a19cb1c7-c5c7-46d4-85ae-d83685407bba">
      <Url>https://swpp2.dms.gkpge.pl/sites/31/_layouts/15/DocIdRedir.aspx?ID=ZKQJDXMXURTQ-23589584-27855</Url>
      <Description>ZKQJDXMXURTQ-23589584-27855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4727D9E-79EA-4116-B481-590DB8B175E6}"/>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415D2BF-B052-49B4-A0A8-B44506E92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6</Pages>
  <Words>3126</Words>
  <Characters>18760</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POST/DYS/OLD/GZ/02731/2024</dc:subject>
  <dc:creator>Kurpiewska Katarzyna [PGE S.A.]</dc:creator>
  <cp:lastModifiedBy>Gaworska Agata [PGE Dystr. O.Łódź]</cp:lastModifiedBy>
  <cp:revision>63</cp:revision>
  <cp:lastPrinted>2021-08-10T08:10:00Z</cp:lastPrinted>
  <dcterms:created xsi:type="dcterms:W3CDTF">2022-04-28T07:16:00Z</dcterms:created>
  <dcterms:modified xsi:type="dcterms:W3CDTF">2024-09-16T07:07:00Z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611e4a67-beda-4611-bacd-e7a174f23365</vt:lpwstr>
  </property>
</Properties>
</file>