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B12A" w14:textId="3A5AA781" w:rsidR="00325376" w:rsidRPr="0073040A" w:rsidRDefault="00325376" w:rsidP="00DE3CD7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260FBFDD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595425">
        <w:rPr>
          <w:rFonts w:ascii="Calibri" w:hAnsi="Calibri" w:cs="Calibri"/>
          <w:sz w:val="22"/>
          <w:szCs w:val="22"/>
        </w:rPr>
        <w:t>w/w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6557BE62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C90650">
        <w:rPr>
          <w:rFonts w:ascii="Calibri" w:hAnsi="Calibri" w:cs="Calibri"/>
          <w:sz w:val="22"/>
          <w:szCs w:val="22"/>
        </w:rPr>
        <w:br/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F728919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>przygotowania i</w:t>
      </w:r>
      <w:r w:rsidR="00F96DE1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 xml:space="preserve">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4C471911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</w:t>
      </w:r>
      <w:r w:rsidR="003171C4">
        <w:rPr>
          <w:rFonts w:ascii="Calibri" w:hAnsi="Calibri" w:cs="Calibri"/>
          <w:sz w:val="22"/>
          <w:szCs w:val="22"/>
        </w:rPr>
        <w:br/>
      </w:r>
      <w:r w:rsidRPr="00F665CA">
        <w:rPr>
          <w:rFonts w:ascii="Calibri" w:hAnsi="Calibri" w:cs="Calibri"/>
          <w:sz w:val="22"/>
          <w:szCs w:val="22"/>
        </w:rPr>
        <w:t xml:space="preserve">w </w:t>
      </w:r>
      <w:r w:rsidR="00F75925">
        <w:rPr>
          <w:rFonts w:ascii="Calibri" w:hAnsi="Calibri" w:cs="Calibri"/>
          <w:sz w:val="22"/>
          <w:szCs w:val="22"/>
        </w:rPr>
        <w:t xml:space="preserve">§ </w:t>
      </w:r>
      <w:r w:rsidR="00625F36">
        <w:rPr>
          <w:rFonts w:ascii="Calibri" w:hAnsi="Calibri" w:cs="Calibri"/>
          <w:sz w:val="22"/>
          <w:szCs w:val="22"/>
        </w:rPr>
        <w:t xml:space="preserve">7a </w:t>
      </w:r>
      <w:r w:rsidR="00F75925">
        <w:rPr>
          <w:rFonts w:ascii="Calibri" w:hAnsi="Calibri" w:cs="Calibri"/>
          <w:sz w:val="22"/>
          <w:szCs w:val="22"/>
        </w:rPr>
        <w:t>ust.</w:t>
      </w:r>
      <w:r w:rsidR="003171C4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1 Umowy.</w:t>
      </w:r>
    </w:p>
    <w:p w14:paraId="0F12933A" w14:textId="578581E3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625F36">
        <w:rPr>
          <w:rFonts w:ascii="Calibri" w:hAnsi="Calibri" w:cs="Calibri"/>
          <w:sz w:val="22"/>
          <w:szCs w:val="22"/>
        </w:rPr>
        <w:t xml:space="preserve"> § 7a </w:t>
      </w:r>
      <w:r w:rsidR="005413AD">
        <w:rPr>
          <w:rFonts w:ascii="Calibri" w:hAnsi="Calibri" w:cs="Calibri"/>
          <w:sz w:val="22"/>
          <w:szCs w:val="22"/>
        </w:rPr>
        <w:t>Umowy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2F17BAAE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 w:rsidR="00625F36">
        <w:rPr>
          <w:rFonts w:ascii="Calibri" w:hAnsi="Calibri" w:cs="Calibri"/>
          <w:sz w:val="22"/>
          <w:szCs w:val="22"/>
        </w:rPr>
        <w:t>§ 7a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lastRenderedPageBreak/>
        <w:t xml:space="preserve">Umowy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>, przy czym ujawnienie tych informacji może być uzależnione 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0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0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5D907" w14:textId="77777777" w:rsidR="00DD49AE" w:rsidRDefault="00DD49AE" w:rsidP="001C34EF">
      <w:r>
        <w:separator/>
      </w:r>
    </w:p>
  </w:endnote>
  <w:endnote w:type="continuationSeparator" w:id="0">
    <w:p w14:paraId="3C900CBA" w14:textId="77777777" w:rsidR="00DD49AE" w:rsidRDefault="00DD49AE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1E361" w14:textId="77777777" w:rsidR="00DE7715" w:rsidRDefault="00DE7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F80BE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5813E613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44FF5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44FF5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93AF5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7AE5BA30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44FF5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44FF5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A5407" w14:textId="77777777" w:rsidR="00DD49AE" w:rsidRDefault="00DD49AE" w:rsidP="001C34EF">
      <w:r>
        <w:separator/>
      </w:r>
    </w:p>
  </w:footnote>
  <w:footnote w:type="continuationSeparator" w:id="0">
    <w:p w14:paraId="3F20076A" w14:textId="77777777" w:rsidR="00DD49AE" w:rsidRDefault="00DD49AE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BAE4" w14:textId="77777777" w:rsidR="00DE7715" w:rsidRDefault="00DE7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EF54" w14:textId="0355B8A9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 xml:space="preserve">Załącznik </w:t>
    </w:r>
    <w:r w:rsidR="00644FF5">
      <w:rPr>
        <w:color w:val="7F7F7F" w:themeColor="text1" w:themeTint="80"/>
      </w:rPr>
      <w:t xml:space="preserve">nr </w:t>
    </w:r>
    <w:r w:rsidR="00644FF5">
      <w:rPr>
        <w:color w:val="7F7F7F" w:themeColor="text1" w:themeTint="80"/>
      </w:rPr>
      <w:t>10</w:t>
    </w:r>
    <w:bookmarkStart w:id="1" w:name="_GoBack"/>
    <w:bookmarkEnd w:id="1"/>
    <w:r w:rsidR="00625F36">
      <w:rPr>
        <w:color w:val="7F7F7F" w:themeColor="text1" w:themeTint="80"/>
      </w:rPr>
      <w:t xml:space="preserve"> do umowy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1F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1661E"/>
    <w:rsid w:val="00216BEF"/>
    <w:rsid w:val="00231E65"/>
    <w:rsid w:val="0024361B"/>
    <w:rsid w:val="00251DD8"/>
    <w:rsid w:val="00252756"/>
    <w:rsid w:val="0025375B"/>
    <w:rsid w:val="0026084F"/>
    <w:rsid w:val="0026143A"/>
    <w:rsid w:val="00285868"/>
    <w:rsid w:val="002B163F"/>
    <w:rsid w:val="002C4F88"/>
    <w:rsid w:val="002C7FA7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25F36"/>
    <w:rsid w:val="006328E8"/>
    <w:rsid w:val="00644FF5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30B5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6667"/>
    <w:rsid w:val="00B27D5E"/>
    <w:rsid w:val="00B46723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B0678"/>
    <w:rsid w:val="00BB4883"/>
    <w:rsid w:val="00BE2796"/>
    <w:rsid w:val="00BF1558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95676"/>
    <w:rsid w:val="00DB0B84"/>
    <w:rsid w:val="00DB566A"/>
    <w:rsid w:val="00DB5AA1"/>
    <w:rsid w:val="00DB73F6"/>
    <w:rsid w:val="00DD49AE"/>
    <w:rsid w:val="00DE08D6"/>
    <w:rsid w:val="00DE3CD7"/>
    <w:rsid w:val="00DE7715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E1648"/>
    <w:rsid w:val="00EE3C29"/>
    <w:rsid w:val="00EF1024"/>
    <w:rsid w:val="00F06FCF"/>
    <w:rsid w:val="00F12AEB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96DE1"/>
    <w:rsid w:val="00FA3BF8"/>
    <w:rsid w:val="00FA697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IW_2022\wz&#243;r%20papieru%20firmowego\CE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Umowy- Obowiązki informacyjne Wykonawcy.docx</dmsv2BaseFileName>
    <dmsv2BaseDisplayName xmlns="http://schemas.microsoft.com/sharepoint/v3">Załącznik nr 10 do Umowy- Obowiązki informacyjne Wykonawcy</dmsv2BaseDisplayName>
    <dmsv2SWPP2ObjectNumber xmlns="http://schemas.microsoft.com/sharepoint/v3">POST/DYS/OLD/GZ/02724/2024                        </dmsv2SWPP2ObjectNumber>
    <dmsv2SWPP2SumMD5 xmlns="http://schemas.microsoft.com/sharepoint/v3">ff581605799d239d01bb17e9b8af3cfe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20701224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ZKQJDXMXURTQ-1688516315-4012</_dlc_DocId>
    <_dlc_DocIdUrl xmlns="a19cb1c7-c5c7-46d4-85ae-d83685407bba">
      <Url>https://swpp2.dms.gkpge.pl/sites/31/_layouts/15/DocIdRedir.aspx?ID=ZKQJDXMXURTQ-1688516315-4012</Url>
      <Description>ZKQJDXMXURTQ-1688516315-4012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DC949-47B7-4900-A52F-9A431B4BF5D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ADB9A6-FA6B-42D3-8F58-AA1871672033}"/>
</file>

<file path=customXml/itemProps5.xml><?xml version="1.0" encoding="utf-8"?>
<ds:datastoreItem xmlns:ds="http://schemas.openxmlformats.org/officeDocument/2006/customXml" ds:itemID="{55FD0D90-4307-4CA5-91F7-73FC8E8A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</Template>
  <TotalTime>6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Płomińska-Gorzkiewicz Katarzyna [PGE Dystr. O.Łódź]</cp:lastModifiedBy>
  <cp:revision>7</cp:revision>
  <cp:lastPrinted>2022-06-21T11:07:00Z</cp:lastPrinted>
  <dcterms:created xsi:type="dcterms:W3CDTF">2022-06-30T10:09:00Z</dcterms:created>
  <dcterms:modified xsi:type="dcterms:W3CDTF">2024-09-23T11:53:00Z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7a39c4e6-3bc2-490c-8b3f-652ce79251b1</vt:lpwstr>
  </property>
</Properties>
</file>