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B9FCFF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C61042">
        <w:rPr>
          <w:rFonts w:cstheme="minorHAnsi"/>
          <w:color w:val="000000" w:themeColor="text1"/>
          <w:sz w:val="20"/>
          <w:szCs w:val="20"/>
        </w:rPr>
        <w:t xml:space="preserve"> </w:t>
      </w:r>
      <w:r w:rsidR="00C61042" w:rsidRPr="00C61042">
        <w:rPr>
          <w:rFonts w:cstheme="minorHAnsi"/>
          <w:color w:val="000000" w:themeColor="text1"/>
          <w:sz w:val="20"/>
          <w:szCs w:val="20"/>
        </w:rPr>
        <w:t>POST/DYS/OLD/GZ/02643/2024</w:t>
      </w:r>
      <w:bookmarkStart w:id="2" w:name="_GoBack"/>
      <w:bookmarkEnd w:id="2"/>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2279066" w:rsidR="00821178" w:rsidRPr="00321273" w:rsidRDefault="005A7035" w:rsidP="00ED3031">
      <w:pPr>
        <w:pStyle w:val="Akapitzlist"/>
        <w:numPr>
          <w:ilvl w:val="1"/>
          <w:numId w:val="2"/>
        </w:numPr>
        <w:spacing w:before="120" w:line="276" w:lineRule="auto"/>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ED3031" w:rsidRPr="00ED3031">
        <w:rPr>
          <w:rFonts w:ascii="Arial" w:eastAsia="Calibri" w:hAnsi="Arial" w:cs="Arial"/>
          <w:b/>
          <w:bCs/>
          <w:sz w:val="18"/>
          <w:szCs w:val="18"/>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D059F" w:rsidRPr="00031208">
        <w:rPr>
          <w:rFonts w:asciiTheme="minorHAnsi" w:hAnsiTheme="minorHAnsi" w:cstheme="minorHAnsi"/>
          <w:b/>
          <w:bCs/>
          <w:sz w:val="20"/>
          <w:u w:val="single"/>
        </w:rPr>
        <w:t>„</w:t>
      </w:r>
      <w:r w:rsidR="00ED3031" w:rsidRPr="00ED3031">
        <w:rPr>
          <w:rFonts w:asciiTheme="minorHAnsi" w:hAnsiTheme="minorHAnsi" w:cstheme="minorHAnsi"/>
          <w:b/>
          <w:bCs/>
          <w:sz w:val="20"/>
          <w:u w:val="single"/>
        </w:rPr>
        <w:t>Budowa i rozbiórka sieci nN 0,4kV w obrębie stacji 7-1260 Naramice Hydrofornia, gm. Biała</w:t>
      </w:r>
      <w:r w:rsidR="008D059F" w:rsidRPr="00321273">
        <w:rPr>
          <w:rFonts w:asciiTheme="minorHAnsi" w:hAnsiTheme="minorHAnsi" w:cstheme="minorHAnsi"/>
          <w:b/>
          <w:bCs/>
          <w:sz w:val="20"/>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3EBE349" w:rsidR="00BC792F" w:rsidRPr="00AD7C24" w:rsidRDefault="00ED3031" w:rsidP="00A473BE">
      <w:pPr>
        <w:pStyle w:val="Akapitzlist"/>
        <w:spacing w:before="120" w:line="276" w:lineRule="auto"/>
        <w:ind w:left="284"/>
        <w:outlineLvl w:val="0"/>
        <w:rPr>
          <w:rFonts w:ascii="Calibri" w:hAnsi="Calibri" w:cs="Calibri"/>
          <w:sz w:val="20"/>
        </w:rPr>
      </w:pPr>
      <w:r w:rsidRPr="00ED3031">
        <w:rPr>
          <w:rFonts w:ascii="Calibri" w:hAnsi="Calibri" w:cs="Calibri"/>
          <w:b/>
          <w:sz w:val="20"/>
          <w:u w:val="single"/>
        </w:rPr>
        <w:t>24 miesiące</w:t>
      </w:r>
      <w:r w:rsidR="00CB008F" w:rsidRPr="00E4130D">
        <w:rPr>
          <w:rFonts w:ascii="Calibri" w:hAnsi="Calibri" w:cs="Calibri"/>
          <w:b/>
          <w:sz w:val="20"/>
          <w:u w:val="single"/>
        </w:rPr>
        <w:t xml:space="preserve"> </w:t>
      </w:r>
      <w:r w:rsidR="00B4646C" w:rsidRPr="00E4130D">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lastRenderedPageBreak/>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6873EB72" w14:textId="1FB12959" w:rsidR="00825690" w:rsidRDefault="00C3714F" w:rsidP="005873E7">
      <w:pPr>
        <w:rPr>
          <w:rFonts w:asciiTheme="minorHAnsi" w:hAnsiTheme="minorHAnsi" w:cstheme="minorHAnsi"/>
          <w:sz w:val="20"/>
        </w:rPr>
      </w:pPr>
      <w:r>
        <w:rPr>
          <w:rFonts w:asciiTheme="minorHAnsi" w:hAnsiTheme="minorHAnsi" w:cstheme="minorHAnsi"/>
          <w:sz w:val="20"/>
        </w:rPr>
        <w:t>Załącznik nr 1.8 – Mapka</w:t>
      </w:r>
      <w:r w:rsidR="00BC792F" w:rsidRPr="008D059F">
        <w:rPr>
          <w:rFonts w:asciiTheme="minorHAnsi" w:hAnsiTheme="minorHAnsi" w:cstheme="minorHAnsi"/>
          <w:sz w:val="20"/>
        </w:rPr>
        <w:t xml:space="preserve"> podgl</w:t>
      </w:r>
      <w:r w:rsidR="003A3376" w:rsidRPr="008D059F">
        <w:rPr>
          <w:rFonts w:asciiTheme="minorHAnsi" w:hAnsiTheme="minorHAnsi" w:cstheme="minorHAnsi"/>
          <w:sz w:val="20"/>
        </w:rPr>
        <w:t>ą</w:t>
      </w:r>
      <w:r>
        <w:rPr>
          <w:rFonts w:asciiTheme="minorHAnsi" w:hAnsiTheme="minorHAnsi" w:cstheme="minorHAnsi"/>
          <w:sz w:val="20"/>
        </w:rPr>
        <w:t>dowa</w:t>
      </w:r>
    </w:p>
    <w:p w14:paraId="5E1AF409" w14:textId="62CCF948" w:rsidR="00A64552" w:rsidRDefault="00A64552"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0ED85" w14:textId="77777777" w:rsidR="00715778" w:rsidRDefault="00715778" w:rsidP="004A302B">
      <w:pPr>
        <w:spacing w:line="240" w:lineRule="auto"/>
      </w:pPr>
      <w:r>
        <w:separator/>
      </w:r>
    </w:p>
  </w:endnote>
  <w:endnote w:type="continuationSeparator" w:id="0">
    <w:p w14:paraId="6DBAF0A3" w14:textId="77777777" w:rsidR="00715778" w:rsidRDefault="0071577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B2F09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61042">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61042">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3C494" w14:textId="77777777" w:rsidR="00715778" w:rsidRDefault="00715778" w:rsidP="004A302B">
      <w:pPr>
        <w:spacing w:line="240" w:lineRule="auto"/>
      </w:pPr>
      <w:r>
        <w:separator/>
      </w:r>
    </w:p>
  </w:footnote>
  <w:footnote w:type="continuationSeparator" w:id="0">
    <w:p w14:paraId="14FD0807" w14:textId="77777777" w:rsidR="00715778" w:rsidRDefault="0071577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CF5"/>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B37"/>
    <w:rsid w:val="00877F1D"/>
    <w:rsid w:val="00880069"/>
    <w:rsid w:val="00880C90"/>
    <w:rsid w:val="00881138"/>
    <w:rsid w:val="00883EF2"/>
    <w:rsid w:val="0088627F"/>
    <w:rsid w:val="00886648"/>
    <w:rsid w:val="0088718A"/>
    <w:rsid w:val="00887458"/>
    <w:rsid w:val="008875C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500B"/>
    <w:rsid w:val="00AE56CC"/>
    <w:rsid w:val="00AE6107"/>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FAE"/>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042"/>
    <w:rsid w:val="00C6130D"/>
    <w:rsid w:val="00C62B00"/>
    <w:rsid w:val="00C62F1D"/>
    <w:rsid w:val="00C63783"/>
    <w:rsid w:val="00C65B49"/>
    <w:rsid w:val="00C661EE"/>
    <w:rsid w:val="00C66775"/>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D35"/>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28e95e155cb176ca443a2fefb81cae00</dmsv2SWPP2SumMD5>
    <dmsv2BaseMoved xmlns="http://schemas.microsoft.com/sharepoint/v3">false</dmsv2BaseMoved>
    <dmsv2BaseIsSensitive xmlns="http://schemas.microsoft.com/sharepoint/v3">true</dmsv2BaseIsSensitive>
    <dmsv2SWPP2IDSWPP2 xmlns="http://schemas.microsoft.com/sharepoint/v3">653977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20368577</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ZKQJDXMXURTQ-1157519366-11537</_dlc_DocId>
    <_dlc_DocIdUrl xmlns="a19cb1c7-c5c7-46d4-85ae-d83685407bba">
      <Url>https://swpp2.dms.gkpge.pl/sites/31/_layouts/15/DocIdRedir.aspx?ID=ZKQJDXMXURTQ-1157519366-11537</Url>
      <Description>ZKQJDXMXURTQ-1157519366-11537</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18FD656F-79A6-4C34-918D-0ED86B9CD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7CCD7D4-C30E-44F4-8D6B-573A4803F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3514</Words>
  <Characters>21086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2024-09-06T04:46:00Z</dcterms:created>
  <dcterms:modified xsi:type="dcterms:W3CDTF">2024-09-06T04:46:00Z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97b480f6-2ee7-453f-98b2-635ed0c7ef27</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2024-09-06T04:45:51Z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3d56b746-99fa-4f43-8ba3-72821adb7895</vt:lpwstr>
  </property>
  <property fmtid="{D5CDD505-2E9C-101B-9397-08002B2CF9AE}" pid="10" name="MSIP_Label_66b5d990-821a-4d41-b503-280f184b2126_ContentBits">
    <vt:lpwstr>0</vt:lpwstr>
  </property>
</Properties>
</file>