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C1532D">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7"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bookmarkStart w:id="15" w:name="_GoBack"/>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w:t>
      </w:r>
      <w:bookmarkEnd w:id="15"/>
      <w:r w:rsidR="00C04AE2" w:rsidRPr="00133678">
        <w:rPr>
          <w:szCs w:val="18"/>
        </w:rPr>
        <w:t xml:space="preserve">.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8"/>
          <w:footerReference w:type="default" r:id="rId19"/>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1E06FEF1" w:rsidR="00C1532D" w:rsidRPr="00274292" w:rsidRDefault="00C1532D" w:rsidP="002742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wzór umowy na DP i OWU.docx</dmsv2BaseFileName>
    <dmsv2BaseDisplayName xmlns="http://schemas.microsoft.com/sharepoint/v3">Załącznik nr 5 do SWZ - wzór umowy na DP i OWU</dmsv2BaseDisplayName>
    <dmsv2SWPP2ObjectNumber xmlns="http://schemas.microsoft.com/sharepoint/v3">POST/DYS/OLD/GZ/02606/2025                        </dmsv2SWPP2ObjectNumber>
    <dmsv2SWPP2SumMD5 xmlns="http://schemas.microsoft.com/sharepoint/v3">2b88a4e5d7a540a11589561656aa27bd</dmsv2SWPP2SumMD5>
    <dmsv2BaseMoved xmlns="http://schemas.microsoft.com/sharepoint/v3">false</dmsv2BaseMoved>
    <dmsv2BaseIsSensitive xmlns="http://schemas.microsoft.com/sharepoint/v3">true</dmsv2BaseIsSensitive>
    <dmsv2SWPP2IDSWPP2 xmlns="http://schemas.microsoft.com/sharepoint/v3">686975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22888168</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XD3KHSRJV2AP-1441292327-17760</_dlc_DocId>
    <_dlc_DocIdUrl xmlns="a19cb1c7-c5c7-46d4-85ae-d83685407bba">
      <Url>https://swpp2.dms.gkpge.pl/sites/38/_layouts/15/DocIdRedir.aspx?ID=XD3KHSRJV2AP-1441292327-17760</Url>
      <Description>XD3KHSRJV2AP-1441292327-17760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D742E066-5698-4C6B-A2AC-EB8D2DB330D2}"/>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5.xml><?xml version="1.0" encoding="utf-8"?>
<ds:datastoreItem xmlns:ds="http://schemas.openxmlformats.org/officeDocument/2006/customXml" ds:itemID="{673A05D4-819E-4547-BC15-C71FF9A5BA27}"/>
</file>

<file path=docProps/app.xml><?xml version="1.0" encoding="utf-8"?>
<Properties xmlns="http://schemas.openxmlformats.org/officeDocument/2006/extended-properties" xmlns:vt="http://schemas.openxmlformats.org/officeDocument/2006/docPropsVTypes">
  <Template>Normal.dotm</Template>
  <TotalTime>48</TotalTime>
  <Pages>20</Pages>
  <Words>16142</Words>
  <Characters>96858</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2023-02-22T10:56:00Z</cp:lastPrinted>
  <dcterms:created xsi:type="dcterms:W3CDTF">2024-09-23T07:03:00Z</dcterms:created>
  <dcterms:modified xsi:type="dcterms:W3CDTF">2024-09-23T10:55:00Z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ocset_NoMedatataSyncRequired">
    <vt:lpwstr>False</vt:lpwstr>
  </property>
  <property fmtid="{D5CDD505-2E9C-101B-9397-08002B2CF9AE}" pid="4" name="_dlc_DocIdItemGuid">
    <vt:lpwstr>56937c2e-b354-4c38-885b-732c7787dce8</vt:lpwstr>
  </property>
</Properties>
</file>