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w:t>
      </w:r>
      <w:r w:rsidR="00077581" w:rsidRPr="00077581">
        <w:rPr>
          <w:b/>
        </w:rPr>
        <w:lastRenderedPageBreak/>
        <w:t xml:space="preserve">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lastRenderedPageBreak/>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lastRenderedPageBreak/>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 xml:space="preserve">Jeżeli w toku czynności odbioru zostanie stwierdzone, że przedmiot zlecenia nie osiągnął gotowości </w:t>
      </w:r>
      <w:r w:rsidRPr="00281145">
        <w:lastRenderedPageBreak/>
        <w:t>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lastRenderedPageBreak/>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w:t>
      </w:r>
      <w:r w:rsidRPr="002C7F5F">
        <w:lastRenderedPageBreak/>
        <w:t>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w:t>
      </w:r>
      <w:r w:rsidRPr="00281145">
        <w:rPr>
          <w:color w:val="auto"/>
        </w:rPr>
        <w:lastRenderedPageBreak/>
        <w:t>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lastRenderedPageBreak/>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lastRenderedPageBreak/>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 xml:space="preserve">od chwili podpisania niniejszej umowy przysługują mu w całości i na wyłączność majątkowe </w:t>
      </w:r>
      <w:r w:rsidRPr="00281145">
        <w:rPr>
          <w:color w:val="auto"/>
        </w:rPr>
        <w:lastRenderedPageBreak/>
        <w:t>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lastRenderedPageBreak/>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lastRenderedPageBreak/>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 xml:space="preserve">Zabezpieczenie należytego wykonania umowy wniesione w pieniądzu Zamawiający zwraca </w:t>
      </w:r>
      <w:r w:rsidRPr="00281145">
        <w:lastRenderedPageBreak/>
        <w:t>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lastRenderedPageBreak/>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lastRenderedPageBreak/>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A0508" w14:textId="77777777" w:rsidR="0025144A" w:rsidRDefault="002514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0405F285"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25144A">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D27F4" w14:textId="77777777" w:rsidR="0025144A" w:rsidRDefault="002514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2AE28" w14:textId="77777777" w:rsidR="0025144A" w:rsidRDefault="002514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89EFF" w14:textId="675F1DD4" w:rsidR="0025144A" w:rsidRPr="0025144A" w:rsidRDefault="00894B7B" w:rsidP="0025144A">
    <w:pPr>
      <w:pStyle w:val="Nagwek"/>
      <w:jc w:val="right"/>
      <w:rPr>
        <w:rFonts w:ascii="Arial" w:hAnsi="Arial" w:cs="Arial"/>
        <w:b/>
        <w:sz w:val="22"/>
        <w:szCs w:val="22"/>
      </w:rPr>
    </w:pPr>
    <w:r w:rsidRPr="00017C3A">
      <w:rPr>
        <w:rFonts w:ascii="Arial" w:hAnsi="Arial" w:cs="Arial"/>
        <w:b/>
        <w:sz w:val="22"/>
        <w:szCs w:val="22"/>
      </w:rPr>
      <w:t xml:space="preserve">Załącznik nr 5 do SWZ postępowanie nr </w:t>
    </w:r>
    <w:bookmarkStart w:id="48" w:name="_GoBack"/>
    <w:bookmarkEnd w:id="48"/>
  </w:p>
  <w:p w14:paraId="1251F337" w14:textId="3EBA870A" w:rsidR="00894B7B" w:rsidRDefault="0025144A" w:rsidP="0025144A">
    <w:pPr>
      <w:pStyle w:val="Nagwek"/>
      <w:jc w:val="right"/>
    </w:pPr>
    <w:r w:rsidRPr="0025144A">
      <w:rPr>
        <w:rFonts w:ascii="Arial" w:hAnsi="Arial" w:cs="Arial"/>
        <w:b/>
        <w:sz w:val="22"/>
        <w:szCs w:val="22"/>
      </w:rPr>
      <w:t>POST/DYS/OLD/GZ/02308/2025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5144A"/>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POST/DYS/OLD/GZ/02308/2025                        </dmsv2SWPP2ObjectNumber>
    <dmsv2SWPP2SumMD5 xmlns="http://schemas.microsoft.com/sharepoint/v3">9589ae7094d573a8b946d49067f5617e</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22753992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XD3KHSRJV2AP-496110365-2787</_dlc_DocId>
    <_dlc_DocIdUrl xmlns="a19cb1c7-c5c7-46d4-85ae-d83685407bba">
      <Url>https://swpp2.dms.gkpge.pl/sites/38/_layouts/15/DocIdRedir.aspx?ID=XD3KHSRJV2AP-496110365-2787</Url>
      <Description>XD3KHSRJV2AP-496110365-2787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0DA20-9D9A-45A4-98C4-AD1B6081D0DC}"/>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DFACEEF1-49A0-4D05-AEBD-0DE36F3D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Kaczorowska-Jakubowska Izabela [PGE Dystr. O.Łódź]</cp:lastModifiedBy>
  <cp:revision>9</cp:revision>
  <cp:lastPrinted>2023-12-11T08:58:00Z</cp:lastPrinted>
  <dcterms:created xsi:type="dcterms:W3CDTF">2024-02-05T06:11:00Z</dcterms:created>
  <dcterms:modified xsi:type="dcterms:W3CDTF">2025-06-17T07:07:00Z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c5c3f911-9159-4a98-87bd-8625bed8fa65</vt:lpwstr>
  </property>
</Properties>
</file>