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4F86C77"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Rozporządzeniu Rady (WE) nr 765/2006 z dnia 18 maja 2006 r. dotyczącego środków ograniczających w związku z sytuacją na Białorusi i udziałem Białorusi w agresji Rosji wobec Ukrainy</w:t>
      </w:r>
      <w:bookmarkStart w:id="2" w:name="_GoBack"/>
      <w:bookmarkEnd w:id="2"/>
      <w:r w:rsidRPr="00E66BB9">
        <w:rPr>
          <w:rFonts w:asciiTheme="minorHAnsi" w:hAnsiTheme="minorHAnsi" w:cstheme="minorHAnsi"/>
          <w:iCs/>
          <w:sz w:val="20"/>
          <w:lang w:eastAsia="pl-PL"/>
        </w:rPr>
        <w:t xml:space="preserve"> </w:t>
      </w:r>
      <w:r w:rsidRPr="00E66BB9">
        <w:rPr>
          <w:rFonts w:asciiTheme="minorHAnsi" w:hAnsiTheme="minorHAnsi" w:cstheme="minorHAnsi"/>
          <w:sz w:val="20"/>
          <w:lang w:eastAsia="pl-PL"/>
        </w:rPr>
        <w:t xml:space="preserve">(Dz. Urz. UE L 134 z 20.05.2006, str. 1, z </w:t>
      </w:r>
      <w:proofErr w:type="spellStart"/>
      <w:r w:rsidRPr="00E66BB9">
        <w:rPr>
          <w:rFonts w:asciiTheme="minorHAnsi" w:hAnsiTheme="minorHAnsi" w:cstheme="minorHAnsi"/>
          <w:sz w:val="20"/>
          <w:lang w:eastAsia="pl-PL"/>
        </w:rPr>
        <w:t>późn</w:t>
      </w:r>
      <w:proofErr w:type="spellEnd"/>
      <w:r w:rsidRPr="00E66BB9">
        <w:rPr>
          <w:rFonts w:asciiTheme="minorHAnsi" w:hAnsiTheme="minorHAnsi" w:cstheme="minorHAnsi"/>
          <w:sz w:val="20"/>
          <w:lang w:eastAsia="pl-PL"/>
        </w:rPr>
        <w:t xml:space="preserve">.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E66BB9">
        <w:rPr>
          <w:rFonts w:asciiTheme="minorHAnsi" w:hAnsiTheme="minorHAnsi" w:cstheme="minorHAnsi"/>
          <w:iCs/>
          <w:sz w:val="20"/>
          <w:lang w:eastAsia="pl-PL"/>
        </w:rPr>
        <w:t>późn</w:t>
      </w:r>
      <w:proofErr w:type="spellEnd"/>
      <w:r w:rsidRPr="00E66BB9">
        <w:rPr>
          <w:rFonts w:asciiTheme="minorHAnsi" w:hAnsiTheme="minorHAnsi" w:cstheme="minorHAnsi"/>
          <w:iCs/>
          <w:sz w:val="20"/>
          <w:lang w:eastAsia="pl-PL"/>
        </w:rPr>
        <w:t xml:space="preserve">.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2819E354"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0432D560"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 xml:space="preserve">posiadają uprawnienia do prowadzenia prac sieciowych (sieci i urządzenia </w:t>
      </w:r>
      <w:proofErr w:type="spellStart"/>
      <w:r w:rsidRPr="00CE5A24">
        <w:rPr>
          <w:rFonts w:asciiTheme="minorHAnsi" w:hAnsiTheme="minorHAnsi" w:cstheme="minorHAnsi"/>
          <w:sz w:val="20"/>
          <w:lang w:eastAsia="pl-PL"/>
        </w:rPr>
        <w:t>nN</w:t>
      </w:r>
      <w:proofErr w:type="spellEnd"/>
      <w:r w:rsidRPr="00CE5A24">
        <w:rPr>
          <w:rFonts w:asciiTheme="minorHAnsi" w:hAnsiTheme="minorHAnsi" w:cstheme="minorHAnsi"/>
          <w:sz w:val="20"/>
          <w:lang w:eastAsia="pl-PL"/>
        </w:rPr>
        <w:t>) w technologii PPN (prac pod napięciem) – 2 osoby</w:t>
      </w:r>
    </w:p>
    <w:p w14:paraId="2D307EC5"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posiadają </w:t>
      </w:r>
      <w:r w:rsidRPr="00061CF0">
        <w:rPr>
          <w:rFonts w:asciiTheme="minorHAnsi" w:hAnsiTheme="minorHAnsi" w:cstheme="minorHAnsi"/>
          <w:sz w:val="20"/>
          <w:lang w:eastAsia="pl-PL"/>
        </w:rPr>
        <w:t xml:space="preserve">uprawnienia budowlane do projektowania (uprawnienia z aktualną przynależnością do właściwej Okręgowej Izby Inżynierów Budownictwa) adekwatne do zakresu i rodzaju prac projektowych przewidzianych do realizacji zadania określonego w Specyfikacji Technicznej tj. </w:t>
      </w:r>
      <w:r>
        <w:rPr>
          <w:rFonts w:asciiTheme="minorHAnsi" w:hAnsiTheme="minorHAnsi" w:cstheme="minorHAnsi"/>
          <w:sz w:val="20"/>
          <w:lang w:eastAsia="pl-PL"/>
        </w:rPr>
        <w:br/>
      </w:r>
      <w:r w:rsidRPr="00061CF0">
        <w:rPr>
          <w:rFonts w:asciiTheme="minorHAnsi" w:hAnsiTheme="minorHAnsi" w:cstheme="minorHAnsi"/>
          <w:sz w:val="20"/>
          <w:lang w:eastAsia="pl-PL"/>
        </w:rPr>
        <w:t xml:space="preserve">w specjalności instalacyjnej w zakresie sieci, instalacji i urządzeń elektrycznych </w:t>
      </w:r>
      <w:r>
        <w:rPr>
          <w:rFonts w:asciiTheme="minorHAnsi" w:hAnsiTheme="minorHAnsi" w:cstheme="minorHAnsi"/>
          <w:sz w:val="20"/>
          <w:lang w:eastAsia="pl-PL"/>
        </w:rPr>
        <w:br/>
      </w:r>
      <w:r w:rsidRPr="00061CF0">
        <w:rPr>
          <w:rFonts w:asciiTheme="minorHAnsi" w:hAnsiTheme="minorHAnsi" w:cstheme="minorHAnsi"/>
          <w:sz w:val="20"/>
          <w:lang w:eastAsia="pl-PL"/>
        </w:rPr>
        <w:t>i elektroenergetycznych – 1 osoba</w:t>
      </w:r>
    </w:p>
    <w:p w14:paraId="387C1C91"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Cs w:val="22"/>
        </w:rPr>
        <w:t xml:space="preserve"> </w:t>
      </w: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p>
    <w:p w14:paraId="0C60A7B8" w14:textId="77777777"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w:t>
      </w:r>
      <w:r w:rsidRPr="00F00665">
        <w:rPr>
          <w:rFonts w:asciiTheme="minorHAnsi" w:hAnsiTheme="minorHAnsi" w:cstheme="minorHAnsi"/>
          <w:bCs/>
          <w:snapToGrid w:val="0"/>
          <w:sz w:val="20"/>
          <w:lang w:eastAsia="pl-PL"/>
        </w:rPr>
        <w:lastRenderedPageBreak/>
        <w:t>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77777777"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777777"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77777777"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w:t>
      </w:r>
      <w:r w:rsidRPr="004D2168">
        <w:rPr>
          <w:rFonts w:asciiTheme="minorHAnsi" w:eastAsia="Calibri" w:hAnsiTheme="minorHAnsi" w:cstheme="minorHAnsi"/>
          <w:sz w:val="20"/>
        </w:rPr>
        <w:lastRenderedPageBreak/>
        <w:t>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77777777"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Default="00EE2B69" w:rsidP="00EE2B69">
      <w:pPr>
        <w:numPr>
          <w:ilvl w:val="1"/>
          <w:numId w:val="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61A2AA00" w14:textId="77777777"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77777777"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77777777"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zgodnie ze wzorem wskazanym w Załączniku nr 10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12DE6402" w14:textId="77777777" w:rsidR="00EE2B69" w:rsidRPr="004B4556" w:rsidRDefault="00EE2B69" w:rsidP="00EE2B69">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lastRenderedPageBreak/>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78AF60DD"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Pr>
          <w:rFonts w:asciiTheme="minorHAnsi" w:hAnsiTheme="minorHAnsi" w:cstheme="minorHAnsi"/>
          <w:b/>
          <w:iCs/>
          <w:sz w:val="20"/>
        </w:rPr>
        <w:t xml:space="preserve">Podpisany </w:t>
      </w:r>
      <w:r w:rsidRPr="004B4556">
        <w:rPr>
          <w:rFonts w:asciiTheme="minorHAnsi" w:hAnsiTheme="minorHAnsi" w:cstheme="minorHAnsi"/>
          <w:b/>
          <w:iCs/>
          <w:sz w:val="20"/>
        </w:rPr>
        <w:t>Formularz cenowy/Arkusz</w:t>
      </w:r>
      <w:r>
        <w:rPr>
          <w:rFonts w:asciiTheme="minorHAnsi" w:hAnsiTheme="minorHAnsi" w:cstheme="minorHAnsi"/>
          <w:b/>
          <w:iCs/>
          <w:sz w:val="20"/>
        </w:rPr>
        <w:t xml:space="preserve"> kalkulacyjny wg Załącznika nr 3.1</w:t>
      </w:r>
      <w:r w:rsidRPr="004B4556">
        <w:rPr>
          <w:rFonts w:asciiTheme="minorHAnsi" w:hAnsiTheme="minorHAnsi" w:cstheme="minorHAnsi"/>
          <w:b/>
          <w:iCs/>
          <w:sz w:val="20"/>
        </w:rPr>
        <w:t xml:space="preserve"> do SWZ</w:t>
      </w:r>
      <w:r>
        <w:rPr>
          <w:rFonts w:asciiTheme="minorHAnsi" w:hAnsiTheme="minorHAnsi" w:cstheme="minorHAnsi"/>
          <w:b/>
          <w:iCs/>
          <w:sz w:val="20"/>
        </w:rPr>
        <w:t>.</w:t>
      </w:r>
    </w:p>
    <w:p w14:paraId="7B23EAB4"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b/>
          <w:iCs/>
          <w:sz w:val="20"/>
        </w:rPr>
        <w:t>Dokumenty składane w celu oceny spełniania parametrów /cech ocenianych przez Zamawiającego w ramach kryteriów oceny ofert,</w:t>
      </w:r>
      <w:r>
        <w:rPr>
          <w:rFonts w:asciiTheme="minorHAnsi" w:hAnsiTheme="minorHAnsi" w:cstheme="minorHAnsi"/>
          <w:b/>
          <w:iCs/>
          <w:sz w:val="20"/>
        </w:rPr>
        <w:t xml:space="preserve"> o których mowa w pkt 12.1 SWZ. – nie dotyczy</w:t>
      </w:r>
    </w:p>
    <w:p w14:paraId="2BEFF54D" w14:textId="2D3733A6" w:rsidR="00EE2B69" w:rsidRDefault="00EE2B69" w:rsidP="00EE2B69">
      <w:pPr>
        <w:pStyle w:val="Tekstpodstawowy"/>
        <w:spacing w:line="24" w:lineRule="atLeast"/>
        <w:ind w:left="567"/>
        <w:outlineLvl w:val="0"/>
        <w:rPr>
          <w:rFonts w:asciiTheme="minorHAnsi" w:hAnsiTheme="minorHAnsi" w:cstheme="minorHAnsi"/>
          <w:b/>
          <w:sz w:val="20"/>
        </w:rPr>
      </w:pPr>
      <w:r w:rsidRPr="007F4D3D">
        <w:rPr>
          <w:rFonts w:asciiTheme="minorHAnsi" w:hAnsiTheme="minorHAnsi" w:cstheme="minorHAnsi"/>
          <w:b/>
          <w:sz w:val="20"/>
        </w:rPr>
        <w:t xml:space="preserve">Uwaga: Dokumenty składające się na ofertę wymienione w pkt 3.1. powyżej nie podlegają uzupełnieniu </w:t>
      </w:r>
      <w:r w:rsidR="008D08B5">
        <w:rPr>
          <w:rFonts w:asciiTheme="minorHAnsi" w:hAnsiTheme="minorHAnsi" w:cstheme="minorHAnsi"/>
          <w:b/>
          <w:sz w:val="20"/>
        </w:rPr>
        <w:t>.</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32C8349" w14:textId="77777777" w:rsidR="00EE2B69" w:rsidRPr="00AE096B"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532A23">
        <w:rPr>
          <w:rFonts w:asciiTheme="minorHAnsi" w:hAnsiTheme="minorHAnsi" w:cstheme="minorHAnsi"/>
          <w:sz w:val="20"/>
        </w:rPr>
        <w:t xml:space="preserve">Potwierdzenie wniesienia wadium dołączone do oferty </w:t>
      </w:r>
      <w:r w:rsidRPr="00532A23">
        <w:rPr>
          <w:rFonts w:asciiTheme="minorHAnsi" w:eastAsia="Calibri" w:hAnsiTheme="minorHAnsi" w:cstheme="minorHAnsi"/>
          <w:sz w:val="20"/>
        </w:rPr>
        <w:t>powyżej.</w:t>
      </w:r>
    </w:p>
    <w:p w14:paraId="2EECA00F" w14:textId="24F4A509"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xml:space="preserve">., 3.5.,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7F17348A"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Pr="000F42C7">
        <w:rPr>
          <w:rFonts w:asciiTheme="minorHAnsi" w:hAnsiTheme="minorHAnsi" w:cstheme="minorHAnsi"/>
          <w:sz w:val="20"/>
        </w:rPr>
        <w:t>, 2.8., 3.7.,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77777777"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43E8F628"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w:t>
      </w:r>
      <w:r w:rsidRPr="00F352A5">
        <w:rPr>
          <w:rFonts w:asciiTheme="minorHAnsi" w:hAnsiTheme="minorHAnsi" w:cstheme="minorHAnsi"/>
          <w:sz w:val="20"/>
        </w:rPr>
        <w:lastRenderedPageBreak/>
        <w:t>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F487" w14:textId="77777777" w:rsidR="003A6830" w:rsidRDefault="003A6830" w:rsidP="004A302B">
      <w:pPr>
        <w:spacing w:line="240" w:lineRule="auto"/>
      </w:pPr>
      <w:r>
        <w:separator/>
      </w:r>
    </w:p>
  </w:endnote>
  <w:endnote w:type="continuationSeparator" w:id="0">
    <w:p w14:paraId="75D36D14" w14:textId="77777777" w:rsidR="003A6830" w:rsidRDefault="003A68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9B2BBA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0525D">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0525D">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F711" w14:textId="77777777" w:rsidR="003A6830" w:rsidRDefault="003A6830" w:rsidP="004A302B">
      <w:pPr>
        <w:spacing w:line="240" w:lineRule="auto"/>
      </w:pPr>
      <w:r>
        <w:separator/>
      </w:r>
    </w:p>
  </w:footnote>
  <w:footnote w:type="continuationSeparator" w:id="0">
    <w:p w14:paraId="3D1105AB" w14:textId="77777777" w:rsidR="003A6830" w:rsidRDefault="003A68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E1405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20525D">
          <w:rPr>
            <w:rFonts w:asciiTheme="minorHAnsi" w:hAnsiTheme="minorHAnsi" w:cstheme="minorHAnsi"/>
            <w:sz w:val="18"/>
            <w:szCs w:val="18"/>
          </w:rPr>
          <w:t>POST/DYS/OLD/GZ/02308/2025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7BD19522" w:rsidR="006A25A9" w:rsidRDefault="00542758" w:rsidP="00542758">
    <w:pPr>
      <w:pStyle w:val="Nagwek"/>
      <w:tabs>
        <w:tab w:val="clear" w:pos="4536"/>
        <w:tab w:val="clear" w:pos="9072"/>
        <w:tab w:val="left" w:pos="2038"/>
      </w:tabs>
    </w:pPr>
    <w:r>
      <w:rPr>
        <w:rFonts w:asciiTheme="minorHAnsi" w:hAnsiTheme="minorHAnsi" w:cstheme="minorHAnsi"/>
        <w:noProof/>
        <w:sz w:val="18"/>
        <w:szCs w:val="18"/>
        <w:lang w:eastAsia="pl-PL"/>
      </w:rPr>
      <w:drawing>
        <wp:inline distT="0" distB="0" distL="0" distR="0" wp14:anchorId="3CBA5666" wp14:editId="499002FD">
          <wp:extent cx="932252" cy="716280"/>
          <wp:effectExtent l="0" t="0" r="127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3848" cy="725190"/>
                  </a:xfrm>
                  <a:prstGeom prst="rect">
                    <a:avLst/>
                  </a:prstGeom>
                  <a:noFill/>
                </pic:spPr>
              </pic:pic>
            </a:graphicData>
          </a:graphic>
        </wp:inline>
      </w:drawing>
    </w:r>
    <w:r w:rsidR="006A25A9"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EndPr/>
      <w:sdtContent>
        <w:r w:rsidR="00EE7AB5" w:rsidRPr="00EE7AB5">
          <w:rPr>
            <w:rFonts w:asciiTheme="minorHAnsi" w:hAnsiTheme="minorHAnsi" w:cstheme="minorHAnsi"/>
            <w:sz w:val="18"/>
            <w:szCs w:val="18"/>
          </w:rPr>
          <w:t>POST/DYS/OLD/GZ/0</w:t>
        </w:r>
        <w:r w:rsidR="0020525D">
          <w:rPr>
            <w:rFonts w:asciiTheme="minorHAnsi" w:hAnsiTheme="minorHAnsi" w:cstheme="minorHAnsi"/>
            <w:sz w:val="18"/>
            <w:szCs w:val="18"/>
          </w:rPr>
          <w:t>2308</w:t>
        </w:r>
        <w:r w:rsidR="00EE7AB5" w:rsidRPr="00EE7AB5">
          <w:rPr>
            <w:rFonts w:asciiTheme="minorHAnsi" w:hAnsiTheme="minorHAnsi" w:cstheme="minorHAnsi"/>
            <w:sz w:val="18"/>
            <w:szCs w:val="18"/>
          </w:rPr>
          <w:t>/2025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64C"/>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25D"/>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4C"/>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BED"/>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A23"/>
    <w:rsid w:val="00533129"/>
    <w:rsid w:val="00533830"/>
    <w:rsid w:val="00533E90"/>
    <w:rsid w:val="00534AA5"/>
    <w:rsid w:val="005366B9"/>
    <w:rsid w:val="0053751B"/>
    <w:rsid w:val="00537956"/>
    <w:rsid w:val="00540974"/>
    <w:rsid w:val="00540CDC"/>
    <w:rsid w:val="00541F0C"/>
    <w:rsid w:val="00542758"/>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79F"/>
    <w:rsid w:val="00731E14"/>
    <w:rsid w:val="007328FA"/>
    <w:rsid w:val="00734385"/>
    <w:rsid w:val="0073656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310A"/>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8B5"/>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908"/>
    <w:rsid w:val="00A8506D"/>
    <w:rsid w:val="00A8524C"/>
    <w:rsid w:val="00A85391"/>
    <w:rsid w:val="00A85C67"/>
    <w:rsid w:val="00A8659D"/>
    <w:rsid w:val="00A87524"/>
    <w:rsid w:val="00A908CB"/>
    <w:rsid w:val="00A923B8"/>
    <w:rsid w:val="00A92AC0"/>
    <w:rsid w:val="00A93740"/>
    <w:rsid w:val="00A93AC0"/>
    <w:rsid w:val="00A940E6"/>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089"/>
    <w:rsid w:val="00B43BD7"/>
    <w:rsid w:val="00B43F40"/>
    <w:rsid w:val="00B4512C"/>
    <w:rsid w:val="00B454A4"/>
    <w:rsid w:val="00B45FA6"/>
    <w:rsid w:val="00B46ABA"/>
    <w:rsid w:val="00B502C4"/>
    <w:rsid w:val="00B50373"/>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3EB8"/>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AB5"/>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 SUKCESYWNE (4).docx</dmsv2BaseFileName>
    <dmsv2BaseDisplayName xmlns="http://schemas.microsoft.com/sharepoint/v3">Załącznik nr 2 do SWZ - Warunki udziału w postepowaniu SUKCESYWNE (4)</dmsv2BaseDisplayName>
    <dmsv2SWPP2ObjectNumber xmlns="http://schemas.microsoft.com/sharepoint/v3">POST/DYS/OLD/GZ/02308/2025                        </dmsv2SWPP2ObjectNumber>
    <dmsv2SWPP2SumMD5 xmlns="http://schemas.microsoft.com/sharepoint/v3">a1aabf9b155bc4b4060ee95d1f033565</dmsv2SWPP2SumMD5>
    <dmsv2BaseMoved xmlns="http://schemas.microsoft.com/sharepoint/v3">false</dmsv2BaseMoved>
    <dmsv2BaseIsSensitive xmlns="http://schemas.microsoft.com/sharepoint/v3">true</dmsv2BaseIsSensitive>
    <dmsv2SWPP2IDSWPP2 xmlns="http://schemas.microsoft.com/sharepoint/v3">684626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22753988</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XD3KHSRJV2AP-496110365-2798</_dlc_DocId>
    <_dlc_DocIdUrl xmlns="a19cb1c7-c5c7-46d4-85ae-d83685407bba">
      <Url>https://swpp2.dms.gkpge.pl/sites/38/_layouts/15/DocIdRedir.aspx?ID=XD3KHSRJV2AP-496110365-2798</Url>
      <Description>XD3KHSRJV2AP-496110365-2798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30161364-F08B-42CB-8052-B583266C66E6}"/>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6.xml><?xml version="1.0" encoding="utf-8"?>
<ds:datastoreItem xmlns:ds="http://schemas.openxmlformats.org/officeDocument/2006/customXml" ds:itemID="{6A1A2A37-0ADC-43A0-AEF2-390BE8E66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3683</Words>
  <Characters>22099</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POST/DYS/OLD/GZ/02308/2025</dc:subject>
  <dc:creator>Kurpiewska Katarzyna [PGE S.A.]</dc:creator>
  <cp:lastModifiedBy>Kaczorowska-Jakubowska Izabela [PGE Dystr. O.Łódź]</cp:lastModifiedBy>
  <cp:revision>37</cp:revision>
  <cp:lastPrinted>2021-08-10T08:10:00Z</cp:lastPrinted>
  <dcterms:created xsi:type="dcterms:W3CDTF">2022-04-28T07:16:00Z</dcterms:created>
  <dcterms:modified xsi:type="dcterms:W3CDTF">2025-06-17T06:58:00Z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aed414f0-4f89-48a2-8759-1df4d961520b</vt:lpwstr>
  </property>
</Properties>
</file>