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59E22" w14:textId="0CC37FBC" w:rsidR="000E764B" w:rsidRPr="003759FA" w:rsidRDefault="000E764B" w:rsidP="000E764B">
      <w:pPr>
        <w:pStyle w:val="Nagwek1"/>
        <w:shd w:val="clear" w:color="auto" w:fill="C6D9F1" w:themeFill="text2" w:themeFillTint="33"/>
        <w:rPr>
          <w:rFonts w:cstheme="minorHAnsi"/>
          <w:color w:val="auto"/>
          <w:sz w:val="20"/>
          <w:szCs w:val="20"/>
        </w:rPr>
      </w:pPr>
      <w:bookmarkStart w:id="0" w:name="_Toc18928753"/>
      <w:r w:rsidRPr="003759FA">
        <w:rPr>
          <w:rFonts w:cstheme="minorHAnsi"/>
          <w:color w:val="auto"/>
          <w:sz w:val="20"/>
          <w:szCs w:val="20"/>
        </w:rPr>
        <w:t xml:space="preserve">ZAŁĄCZNIK NR 2 DO SWZ – WARUNKI UDZIAŁU W POSTĘPOWANIU ORAZ PRZESŁANKI WYKLUCZENIA, </w:t>
      </w:r>
      <w:r w:rsidRPr="003759FA">
        <w:rPr>
          <w:rFonts w:cstheme="minorHAnsi"/>
          <w:color w:val="auto"/>
          <w:sz w:val="20"/>
          <w:szCs w:val="20"/>
        </w:rPr>
        <w:br/>
        <w:t>OPIS SPOSOBU OCENY, ELEMENTY SKŁADOWE OFERTY</w:t>
      </w:r>
      <w:bookmarkEnd w:id="0"/>
      <w:r>
        <w:rPr>
          <w:rFonts w:cstheme="minorHAnsi"/>
          <w:color w:val="auto"/>
          <w:sz w:val="20"/>
          <w:szCs w:val="20"/>
        </w:rPr>
        <w:t xml:space="preserve">                                      </w:t>
      </w:r>
      <w:r w:rsidR="00C14521">
        <w:rPr>
          <w:rFonts w:cstheme="minorHAnsi"/>
          <w:color w:val="auto"/>
          <w:sz w:val="20"/>
          <w:szCs w:val="20"/>
        </w:rPr>
        <w:t>POST/DYS/OLD/GZ/0</w:t>
      </w:r>
      <w:r w:rsidR="00467587">
        <w:rPr>
          <w:rFonts w:cstheme="minorHAnsi"/>
          <w:color w:val="auto"/>
          <w:sz w:val="20"/>
          <w:szCs w:val="20"/>
        </w:rPr>
        <w:t>2</w:t>
      </w:r>
      <w:r w:rsidR="00AA604B">
        <w:rPr>
          <w:rFonts w:cstheme="minorHAnsi"/>
          <w:color w:val="auto"/>
          <w:sz w:val="20"/>
          <w:szCs w:val="20"/>
        </w:rPr>
        <w:t>1</w:t>
      </w:r>
      <w:r w:rsidR="00467587">
        <w:rPr>
          <w:rFonts w:cstheme="minorHAnsi"/>
          <w:color w:val="auto"/>
          <w:sz w:val="20"/>
          <w:szCs w:val="20"/>
        </w:rPr>
        <w:t>20</w:t>
      </w:r>
      <w:r w:rsidR="00CE1489">
        <w:rPr>
          <w:rFonts w:cstheme="minorHAnsi"/>
          <w:color w:val="auto"/>
          <w:sz w:val="20"/>
          <w:szCs w:val="20"/>
        </w:rPr>
        <w:t>/2025</w:t>
      </w:r>
    </w:p>
    <w:p w14:paraId="5D402F47" w14:textId="77777777" w:rsidR="000E764B" w:rsidRDefault="000E764B" w:rsidP="000E764B">
      <w:pPr>
        <w:widowControl w:val="0"/>
        <w:adjustRightInd w:val="0"/>
        <w:spacing w:before="120" w:after="120" w:line="240" w:lineRule="auto"/>
        <w:ind w:left="425"/>
        <w:contextualSpacing/>
        <w:rPr>
          <w:rFonts w:asciiTheme="minorHAnsi" w:eastAsia="Calibri" w:hAnsiTheme="minorHAnsi" w:cstheme="minorHAnsi"/>
          <w:b/>
          <w:sz w:val="20"/>
        </w:rPr>
      </w:pPr>
    </w:p>
    <w:p w14:paraId="0262A817" w14:textId="77777777" w:rsidR="000E764B" w:rsidRPr="004B4556" w:rsidRDefault="000E764B" w:rsidP="000E764B">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1DD7200C" w14:textId="77777777" w:rsidR="000E764B" w:rsidRPr="004B4556" w:rsidRDefault="000E764B" w:rsidP="000E764B">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0F52DD9" w14:textId="77777777" w:rsidR="000E764B" w:rsidRPr="00CD0921" w:rsidRDefault="000E764B" w:rsidP="000E764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tj. z Postępowania zakupowego wyklucza się:</w:t>
      </w:r>
    </w:p>
    <w:p w14:paraId="38ECC53C" w14:textId="57F02002"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6E575BBF" w14:textId="7001B3B4"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8679D22" w14:textId="3A490B21"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310186">
        <w:rPr>
          <w:rFonts w:asciiTheme="minorHAnsi" w:eastAsia="Calibri" w:hAnsiTheme="minorHAnsi" w:cstheme="minorHAnsi"/>
          <w:bCs/>
          <w:sz w:val="20"/>
        </w:rPr>
        <w:t xml:space="preserve">    </w:t>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2A03E6D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72BA7BA6"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77267115" w14:textId="3AD9D318"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ponad 50 % należą do podmiotu, o którym mowa w lit. a) niniejszego punktu; lub</w:t>
      </w:r>
    </w:p>
    <w:p w14:paraId="18CD347B" w14:textId="77777777" w:rsidR="000E764B" w:rsidRPr="00A24791" w:rsidRDefault="000E764B" w:rsidP="000E764B">
      <w:pPr>
        <w:numPr>
          <w:ilvl w:val="0"/>
          <w:numId w:val="20"/>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5D73B093" w14:textId="2C84400A" w:rsidR="000E764B" w:rsidRPr="00A24791" w:rsidRDefault="000E764B" w:rsidP="000E764B">
      <w:pPr>
        <w:spacing w:before="120" w:after="120" w:line="240" w:lineRule="auto"/>
        <w:ind w:left="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przypadku gdy przypada na nich ponad 10 % wartości Zamówienia.</w:t>
      </w:r>
    </w:p>
    <w:p w14:paraId="3A49F01D" w14:textId="77777777" w:rsidR="000E764B" w:rsidRPr="00A24791" w:rsidRDefault="000E764B" w:rsidP="000E764B">
      <w:pPr>
        <w:spacing w:before="120" w:after="120" w:line="240" w:lineRule="auto"/>
        <w:ind w:left="426"/>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418D53E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5D9078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201D55A"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2B62B058" w14:textId="6204E40A"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310186">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z dnia 25 czerwca 2010 r. o sporcie (Dz.U. z 2020 r. poz. 1133 oraz z 2021 r. poz. 2054) lub </w:t>
      </w:r>
      <w:r w:rsidR="00310186">
        <w:rPr>
          <w:rFonts w:asciiTheme="minorHAnsi" w:eastAsia="Calibri" w:hAnsiTheme="minorHAnsi" w:cstheme="minorHAnsi"/>
          <w:bCs/>
          <w:sz w:val="20"/>
        </w:rPr>
        <w:t xml:space="preserve">         </w:t>
      </w:r>
      <w:r w:rsidRPr="00A24791">
        <w:rPr>
          <w:rFonts w:asciiTheme="minorHAnsi" w:eastAsia="Calibri" w:hAnsiTheme="minorHAnsi" w:cstheme="minorHAnsi"/>
          <w:bCs/>
          <w:sz w:val="20"/>
        </w:rPr>
        <w:t xml:space="preserve">w art. 54 ust. 1-4 ustawy z dnia 12 maja 2011 r. o refundacji leków, środków spożywczych </w:t>
      </w:r>
      <w:r w:rsidRPr="00A24791">
        <w:rPr>
          <w:rFonts w:asciiTheme="minorHAnsi" w:eastAsia="Calibri" w:hAnsiTheme="minorHAnsi" w:cstheme="minorHAnsi"/>
          <w:bCs/>
          <w:sz w:val="20"/>
        </w:rPr>
        <w:lastRenderedPageBreak/>
        <w:t>specjalnego przeznaczenia żywieniowego oraz wyrobów medycznych (Dz.U. z 2021 r. poz. 523, 1292, 1559 i 2054),</w:t>
      </w:r>
    </w:p>
    <w:p w14:paraId="0413E0DC"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A616F1"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43CAC5C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5513811F" w14:textId="77777777" w:rsidR="000E764B" w:rsidRPr="00A24791" w:rsidRDefault="000E764B" w:rsidP="000E764B">
      <w:pPr>
        <w:numPr>
          <w:ilvl w:val="0"/>
          <w:numId w:val="21"/>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4D63D1" w14:textId="77777777" w:rsidR="000E764B" w:rsidRPr="00A24791" w:rsidRDefault="000E764B" w:rsidP="000E764B">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7BFB35CB" w14:textId="69F6B9BB"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o zamówienia publiczne,</w:t>
      </w:r>
    </w:p>
    <w:p w14:paraId="6F4BAA06" w14:textId="3437C0B8"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C69CFE"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12819D0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1711C50"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57E096"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354FA4D2" w14:textId="0F7C4F92"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CE1489">
        <w:rPr>
          <w:rFonts w:asciiTheme="minorHAnsi" w:eastAsia="Calibri" w:hAnsiTheme="minorHAnsi" w:cstheme="minorHAnsi"/>
          <w:bCs/>
          <w:sz w:val="20"/>
        </w:rPr>
        <w:t xml:space="preserve">        </w:t>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4B72ED52"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1307453F"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18F84F4A" w14:textId="77777777" w:rsidR="000E764B" w:rsidRPr="00A24791"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090695B7" w14:textId="77777777" w:rsidR="000E764B" w:rsidRDefault="000E764B" w:rsidP="000E764B">
      <w:pPr>
        <w:numPr>
          <w:ilvl w:val="0"/>
          <w:numId w:val="19"/>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5CAA3A10" w:rsidR="00EE2B69" w:rsidRPr="00571A54" w:rsidRDefault="000E764B" w:rsidP="000E764B">
      <w:pPr>
        <w:pStyle w:val="Akapitzlist"/>
        <w:numPr>
          <w:ilvl w:val="0"/>
          <w:numId w:val="19"/>
        </w:numPr>
        <w:spacing w:before="120" w:after="120" w:line="240" w:lineRule="auto"/>
        <w:rPr>
          <w:rFonts w:asciiTheme="minorHAnsi" w:hAnsiTheme="minorHAnsi" w:cstheme="minorHAnsi"/>
          <w:sz w:val="20"/>
          <w:lang w:eastAsia="pl-PL"/>
        </w:rPr>
      </w:pPr>
      <w:r w:rsidRPr="00CD0921">
        <w:rPr>
          <w:rFonts w:asciiTheme="minorHAnsi" w:eastAsia="Calibri" w:hAnsiTheme="minorHAnsi" w:cstheme="minorHAnsi"/>
          <w:b/>
          <w:bCs/>
          <w:sz w:val="20"/>
        </w:rPr>
        <w:lastRenderedPageBreak/>
        <w:t>(zgodnie z pkt. 9.4.2.14 Procedury Zakupów)</w:t>
      </w:r>
      <w:r w:rsidRPr="00CD092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r w:rsidR="00EE2B69" w:rsidRPr="00571A54">
        <w:rPr>
          <w:rFonts w:asciiTheme="minorHAnsi" w:hAnsiTheme="minorHAnsi" w:cstheme="minorHAnsi"/>
          <w:sz w:val="20"/>
          <w:lang w:eastAsia="pl-PL"/>
        </w:rPr>
        <w:t xml:space="preserve">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180D9958"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8836BC">
        <w:rPr>
          <w:rFonts w:asciiTheme="minorHAnsi" w:hAnsiTheme="minorHAnsi" w:cstheme="minorHAnsi"/>
          <w:b/>
          <w:sz w:val="20"/>
          <w:lang w:eastAsia="pl-PL"/>
        </w:rPr>
        <w:t xml:space="preserve">                                </w:t>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65DF6D90"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w:t>
      </w:r>
      <w:r w:rsidR="00483C12">
        <w:rPr>
          <w:rFonts w:asciiTheme="minorHAnsi" w:hAnsiTheme="minorHAnsi" w:cstheme="minorHAnsi"/>
          <w:sz w:val="20"/>
          <w:lang w:eastAsia="pl-PL"/>
        </w:rPr>
        <w:t xml:space="preserve">runku Wykonawcy powinni </w:t>
      </w:r>
      <w:r w:rsidR="00C14521">
        <w:rPr>
          <w:rFonts w:asciiTheme="minorHAnsi" w:hAnsiTheme="minorHAnsi" w:cstheme="minorHAnsi"/>
          <w:sz w:val="20"/>
          <w:lang w:eastAsia="pl-PL"/>
        </w:rPr>
        <w:t>złożyć oświadczenia</w:t>
      </w:r>
      <w:r w:rsidRPr="00F00665">
        <w:rPr>
          <w:rFonts w:asciiTheme="minorHAnsi" w:hAnsiTheme="minorHAnsi" w:cstheme="minorHAnsi"/>
          <w:sz w:val="20"/>
          <w:lang w:eastAsia="pl-PL"/>
        </w:rPr>
        <w:t>, że:</w:t>
      </w:r>
    </w:p>
    <w:p w14:paraId="2F1FE21A" w14:textId="0F495A39" w:rsidR="00EE2B69" w:rsidRPr="003D347A" w:rsidRDefault="00C14521" w:rsidP="00C14521">
      <w:pPr>
        <w:numPr>
          <w:ilvl w:val="0"/>
          <w:numId w:val="15"/>
        </w:numPr>
        <w:spacing w:before="120" w:after="120" w:line="240" w:lineRule="auto"/>
        <w:contextualSpacing/>
        <w:rPr>
          <w:rFonts w:asciiTheme="minorHAnsi" w:hAnsiTheme="minorHAnsi" w:cstheme="minorHAnsi"/>
          <w:snapToGrid w:val="0"/>
          <w:sz w:val="20"/>
          <w:lang w:eastAsia="pl-PL"/>
        </w:rPr>
      </w:pPr>
      <w:r w:rsidRPr="00C14521">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EE2B69" w:rsidRPr="003D347A">
        <w:rPr>
          <w:rFonts w:asciiTheme="minorHAnsi" w:hAnsiTheme="minorHAnsi" w:cstheme="minorHAnsi"/>
          <w:snapToGrid w:val="0"/>
          <w:sz w:val="20"/>
          <w:lang w:eastAsia="pl-PL"/>
        </w:rPr>
        <w:t xml:space="preserve">, </w:t>
      </w:r>
    </w:p>
    <w:p w14:paraId="7531BCA9" w14:textId="4DFDC71B"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sidR="002F1A94">
        <w:rPr>
          <w:rFonts w:asciiTheme="minorHAnsi" w:hAnsiTheme="minorHAnsi" w:cstheme="minorHAnsi"/>
          <w:b/>
          <w:snapToGrid w:val="0"/>
          <w:sz w:val="20"/>
          <w:lang w:eastAsia="pl-PL"/>
        </w:rPr>
        <w:t>.</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387C1C91" w14:textId="224672C9" w:rsidR="00EE2B69" w:rsidRPr="00C14521" w:rsidRDefault="00C14521" w:rsidP="00C14521">
      <w:pPr>
        <w:numPr>
          <w:ilvl w:val="0"/>
          <w:numId w:val="14"/>
        </w:numPr>
        <w:spacing w:before="60" w:after="120" w:line="240" w:lineRule="auto"/>
        <w:contextualSpacing/>
        <w:rPr>
          <w:rFonts w:asciiTheme="minorHAnsi" w:hAnsiTheme="minorHAnsi" w:cstheme="minorHAnsi"/>
          <w:sz w:val="20"/>
          <w:lang w:eastAsia="pl-PL"/>
        </w:rPr>
      </w:pPr>
      <w:r w:rsidRPr="00C14521">
        <w:rPr>
          <w:rFonts w:asciiTheme="minorHAnsi" w:hAnsiTheme="minorHAnsi" w:cstheme="minorHAnsi"/>
          <w:sz w:val="20"/>
          <w:lang w:eastAsia="pl-PL"/>
        </w:rPr>
        <w:t xml:space="preserve">co najmniej 1 osobą posiadającą uprawnienia budowlane do projektowania (uprawnienia </w:t>
      </w:r>
      <w:r>
        <w:rPr>
          <w:rFonts w:asciiTheme="minorHAnsi" w:hAnsiTheme="minorHAnsi" w:cstheme="minorHAnsi"/>
          <w:sz w:val="20"/>
          <w:lang w:eastAsia="pl-PL"/>
        </w:rPr>
        <w:t xml:space="preserve">                   </w:t>
      </w:r>
      <w:r w:rsidRPr="00C14521">
        <w:rPr>
          <w:rFonts w:asciiTheme="minorHAnsi" w:hAnsiTheme="minorHAnsi" w:cstheme="minorHAnsi"/>
          <w:sz w:val="20"/>
          <w:lang w:eastAsia="pl-PL"/>
        </w:rPr>
        <w:t xml:space="preserve">z aktualną przynależnością do właściwej Okręgowej Izby Inżynierów Budownictwa) adekwatne do zakresu i rodzaju prac projektowych przewidzianych do realizacji zadania określonego </w:t>
      </w:r>
      <w:r>
        <w:rPr>
          <w:rFonts w:asciiTheme="minorHAnsi" w:hAnsiTheme="minorHAnsi" w:cstheme="minorHAnsi"/>
          <w:sz w:val="20"/>
          <w:lang w:eastAsia="pl-PL"/>
        </w:rPr>
        <w:t xml:space="preserve">                          </w:t>
      </w:r>
      <w:r w:rsidRPr="00C14521">
        <w:rPr>
          <w:rFonts w:asciiTheme="minorHAnsi" w:hAnsiTheme="minorHAnsi" w:cstheme="minorHAnsi"/>
          <w:sz w:val="20"/>
          <w:lang w:eastAsia="pl-PL"/>
        </w:rPr>
        <w:t>w Specyfikacji Tec</w:t>
      </w:r>
      <w:r w:rsidR="00384D0F">
        <w:rPr>
          <w:rFonts w:asciiTheme="minorHAnsi" w:hAnsiTheme="minorHAnsi" w:cstheme="minorHAnsi"/>
          <w:sz w:val="20"/>
          <w:lang w:eastAsia="pl-PL"/>
        </w:rPr>
        <w:t>hnicznej (Z</w:t>
      </w:r>
      <w:r w:rsidR="002B2F02">
        <w:rPr>
          <w:rFonts w:asciiTheme="minorHAnsi" w:hAnsiTheme="minorHAnsi" w:cstheme="minorHAnsi"/>
          <w:sz w:val="20"/>
          <w:lang w:eastAsia="pl-PL"/>
        </w:rPr>
        <w:t>ałącznik nr 1.7 do OP</w:t>
      </w:r>
      <w:r w:rsidRPr="00C14521">
        <w:rPr>
          <w:rFonts w:asciiTheme="minorHAnsi" w:hAnsiTheme="minorHAnsi" w:cstheme="minorHAnsi"/>
          <w:sz w:val="20"/>
          <w:lang w:eastAsia="pl-PL"/>
        </w:rPr>
        <w:t>Z) tj. w specjalności instalacyjnej w zakresie sieci, instalacji i urządzeń elektrycznych i elektroenergetycznych</w:t>
      </w:r>
      <w:r w:rsidR="002F1A94" w:rsidRPr="00C14521">
        <w:rPr>
          <w:rFonts w:asciiTheme="minorHAnsi" w:hAnsiTheme="minorHAnsi" w:cstheme="minorHAnsi"/>
          <w:sz w:val="20"/>
          <w:lang w:eastAsia="pl-PL"/>
        </w:rPr>
        <w:t>,</w:t>
      </w:r>
    </w:p>
    <w:p w14:paraId="0C60A7B8" w14:textId="09049992" w:rsidR="00EE2B69" w:rsidRPr="00430BC5" w:rsidRDefault="00C14521" w:rsidP="00EE2B69">
      <w:pPr>
        <w:spacing w:before="120" w:after="120" w:line="240" w:lineRule="auto"/>
        <w:ind w:left="993" w:hanging="3"/>
        <w:rPr>
          <w:rFonts w:asciiTheme="minorHAnsi" w:hAnsiTheme="minorHAnsi" w:cstheme="minorHAnsi"/>
          <w:snapToGrid w:val="0"/>
          <w:sz w:val="20"/>
          <w:lang w:eastAsia="pl-PL"/>
        </w:rPr>
      </w:pPr>
      <w:r>
        <w:rPr>
          <w:rFonts w:asciiTheme="minorHAnsi" w:hAnsiTheme="minorHAnsi" w:cstheme="minorHAnsi"/>
          <w:snapToGrid w:val="0"/>
          <w:sz w:val="20"/>
          <w:lang w:eastAsia="pl-PL"/>
        </w:rPr>
        <w:t xml:space="preserve">  </w:t>
      </w:r>
      <w:r w:rsidR="00EE2B69" w:rsidRPr="00430BC5">
        <w:rPr>
          <w:rFonts w:asciiTheme="minorHAnsi" w:hAnsiTheme="minorHAnsi" w:cstheme="minorHAnsi"/>
          <w:snapToGrid w:val="0"/>
          <w:sz w:val="20"/>
          <w:lang w:eastAsia="pl-PL"/>
        </w:rPr>
        <w:t xml:space="preserve">zgodnie z formularzem stanowiącym </w:t>
      </w:r>
      <w:r w:rsidR="00EE2B69" w:rsidRPr="00430BC5">
        <w:rPr>
          <w:rFonts w:asciiTheme="minorHAnsi" w:hAnsiTheme="minorHAnsi" w:cstheme="minorHAnsi"/>
          <w:b/>
          <w:snapToGrid w:val="0"/>
          <w:sz w:val="20"/>
          <w:lang w:eastAsia="pl-PL"/>
        </w:rPr>
        <w:t>załącznik nr 8 do SWZ</w:t>
      </w:r>
      <w:r w:rsidR="002F1A94">
        <w:rPr>
          <w:rFonts w:asciiTheme="minorHAnsi" w:hAnsiTheme="minorHAnsi" w:cstheme="minorHAnsi"/>
          <w:b/>
          <w:snapToGrid w:val="0"/>
          <w:sz w:val="20"/>
          <w:lang w:eastAsia="pl-PL"/>
        </w:rPr>
        <w:t>.</w:t>
      </w:r>
      <w:r w:rsidR="00EE2B69"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59F4A90D"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8836BC">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5FE1053F" w:rsidR="00EE2B69" w:rsidRPr="000E764B" w:rsidRDefault="00EE2B69" w:rsidP="00EE2B69">
      <w:pPr>
        <w:pStyle w:val="Akapitzlist"/>
        <w:spacing w:before="60" w:line="240" w:lineRule="auto"/>
        <w:ind w:left="786" w:firstLine="207"/>
        <w:rPr>
          <w:rFonts w:asciiTheme="minorHAnsi" w:hAnsiTheme="minorHAnsi" w:cstheme="minorHAnsi"/>
          <w:sz w:val="20"/>
          <w:u w:val="single"/>
          <w:lang w:eastAsia="pl-PL"/>
        </w:rPr>
      </w:pPr>
      <w:r w:rsidRPr="000E764B">
        <w:rPr>
          <w:rFonts w:asciiTheme="minorHAnsi" w:hAnsiTheme="minorHAnsi" w:cstheme="minorHAnsi"/>
          <w:sz w:val="20"/>
          <w:u w:val="single"/>
          <w:lang w:eastAsia="pl-PL"/>
        </w:rPr>
        <w:t xml:space="preserve">Zamawiający nie stawia szczególnych </w:t>
      </w:r>
      <w:r w:rsidR="000E764B">
        <w:rPr>
          <w:rFonts w:asciiTheme="minorHAnsi" w:hAnsiTheme="minorHAnsi" w:cstheme="minorHAnsi"/>
          <w:sz w:val="20"/>
          <w:u w:val="single"/>
          <w:lang w:eastAsia="pl-PL"/>
        </w:rPr>
        <w:t>warunków w tym zakresie</w:t>
      </w:r>
      <w:r w:rsidRPr="000E764B">
        <w:rPr>
          <w:rFonts w:asciiTheme="minorHAnsi" w:hAnsiTheme="minorHAnsi" w:cstheme="minorHAnsi"/>
          <w:sz w:val="20"/>
          <w:u w:val="single"/>
          <w:lang w:eastAsia="pl-PL"/>
        </w:rPr>
        <w:t>.</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6B1354">
      <w:pPr>
        <w:spacing w:before="60" w:after="120" w:line="36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60F294D2" w14:textId="07EE88C8" w:rsidR="00EE2B69" w:rsidRDefault="006B1354" w:rsidP="006B1354">
      <w:pPr>
        <w:spacing w:line="240" w:lineRule="auto"/>
        <w:ind w:left="993"/>
        <w:contextualSpacing/>
        <w:rPr>
          <w:rFonts w:asciiTheme="minorHAnsi" w:hAnsiTheme="minorHAnsi" w:cstheme="minorHAnsi"/>
          <w:sz w:val="20"/>
          <w:u w:val="single"/>
          <w:lang w:eastAsia="pl-PL"/>
        </w:rPr>
      </w:pPr>
      <w:r w:rsidRPr="000E764B">
        <w:rPr>
          <w:rFonts w:asciiTheme="minorHAnsi" w:hAnsiTheme="minorHAnsi" w:cstheme="minorHAnsi"/>
          <w:sz w:val="20"/>
          <w:u w:val="single"/>
          <w:lang w:eastAsia="pl-PL"/>
        </w:rPr>
        <w:t xml:space="preserve">Zamawiający nie stawia szczególnych </w:t>
      </w:r>
      <w:r>
        <w:rPr>
          <w:rFonts w:asciiTheme="minorHAnsi" w:hAnsiTheme="minorHAnsi" w:cstheme="minorHAnsi"/>
          <w:sz w:val="20"/>
          <w:u w:val="single"/>
          <w:lang w:eastAsia="pl-PL"/>
        </w:rPr>
        <w:t>warunków w tym zakresie</w:t>
      </w:r>
      <w:r w:rsidRPr="000E764B">
        <w:rPr>
          <w:rFonts w:asciiTheme="minorHAnsi" w:hAnsiTheme="minorHAnsi" w:cstheme="minorHAnsi"/>
          <w:sz w:val="20"/>
          <w:u w:val="single"/>
          <w:lang w:eastAsia="pl-PL"/>
        </w:rPr>
        <w:t>.</w:t>
      </w:r>
    </w:p>
    <w:p w14:paraId="65021C72" w14:textId="77777777" w:rsidR="006B1354" w:rsidRPr="004B4556" w:rsidRDefault="006B1354" w:rsidP="006B1354">
      <w:pPr>
        <w:spacing w:line="240" w:lineRule="auto"/>
        <w:ind w:left="993"/>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5E79FB71"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F35DA3">
        <w:rPr>
          <w:rFonts w:asciiTheme="minorHAnsi" w:eastAsia="Calibri" w:hAnsiTheme="minorHAnsi" w:cstheme="minorHAnsi"/>
          <w:b/>
          <w:sz w:val="20"/>
        </w:rPr>
        <w:t xml:space="preserve">                        </w:t>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7D27BD41" w14:textId="77777777" w:rsid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78945B20" w14:textId="2544AE81" w:rsidR="001B66EE" w:rsidRPr="003076AC"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F35DA3">
        <w:rPr>
          <w:rFonts w:asciiTheme="minorHAnsi" w:eastAsia="Calibri" w:hAnsiTheme="minorHAnsi" w:cstheme="minorHAnsi"/>
          <w:sz w:val="20"/>
        </w:rPr>
        <w:t xml:space="preserve">                              </w:t>
      </w:r>
      <w:r w:rsidRPr="003076AC">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w:t>
      </w:r>
      <w:r w:rsidR="00F425BE">
        <w:rPr>
          <w:rFonts w:asciiTheme="minorHAnsi" w:eastAsia="Calibri" w:hAnsiTheme="minorHAnsi" w:cstheme="minorHAnsi"/>
          <w:sz w:val="20"/>
        </w:rPr>
        <w:t xml:space="preserve"> składają również te podmioty. </w:t>
      </w:r>
      <w:r w:rsidRPr="003076AC">
        <w:rPr>
          <w:rFonts w:asciiTheme="minorHAnsi" w:eastAsia="Calibri" w:hAnsiTheme="minorHAnsi" w:cstheme="minorHAnsi"/>
          <w:sz w:val="20"/>
        </w:rPr>
        <w:t xml:space="preserve">Wzór oświadczenia stanowi </w:t>
      </w:r>
      <w:r w:rsidRPr="003076AC">
        <w:rPr>
          <w:rFonts w:asciiTheme="minorHAnsi" w:eastAsia="Calibri" w:hAnsiTheme="minorHAnsi" w:cstheme="minorHAnsi"/>
          <w:b/>
          <w:sz w:val="20"/>
        </w:rPr>
        <w:t>Załącznik nr 4 do SWZ</w:t>
      </w:r>
      <w:r w:rsidRPr="003076AC">
        <w:rPr>
          <w:rFonts w:asciiTheme="minorHAnsi" w:eastAsia="Calibri" w:hAnsiTheme="minorHAnsi" w:cstheme="minorHAnsi"/>
          <w:sz w:val="20"/>
        </w:rPr>
        <w:t>.</w:t>
      </w:r>
    </w:p>
    <w:p w14:paraId="319767FE" w14:textId="77777777" w:rsidR="001B66EE" w:rsidRPr="001B66EE" w:rsidRDefault="001B66EE"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3076AC">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3076AC">
        <w:rPr>
          <w:rFonts w:asciiTheme="minorHAnsi" w:eastAsia="Calibri" w:hAnsiTheme="minorHAnsi" w:cstheme="minorHAnsi"/>
          <w:b/>
          <w:iCs/>
          <w:sz w:val="20"/>
        </w:rPr>
        <w:t>9.4.2.7</w:t>
      </w:r>
      <w:r w:rsidRPr="003076AC">
        <w:rPr>
          <w:rFonts w:asciiTheme="minorHAnsi" w:eastAsia="Calibri" w:hAnsiTheme="minorHAnsi" w:cstheme="minorHAnsi"/>
          <w:iCs/>
          <w:sz w:val="20"/>
        </w:rPr>
        <w:t xml:space="preserve"> Procedury </w:t>
      </w:r>
      <w:r w:rsidRPr="003076AC">
        <w:rPr>
          <w:rFonts w:asciiTheme="minorHAnsi" w:eastAsia="Calibri" w:hAnsiTheme="minorHAnsi" w:cstheme="minorHAnsi"/>
          <w:i/>
          <w:iCs/>
          <w:sz w:val="20"/>
        </w:rPr>
        <w:t>(w przypadku konsorcjum, przedmiotowe dokumenty składa każdy z tych podmiotów).</w:t>
      </w:r>
      <w:r w:rsidRPr="003076AC">
        <w:rPr>
          <w:rFonts w:asciiTheme="minorHAnsi" w:eastAsia="Calibri" w:hAnsiTheme="minorHAnsi" w:cstheme="minorHAnsi"/>
          <w:sz w:val="20"/>
        </w:rPr>
        <w:t xml:space="preserve"> (</w:t>
      </w:r>
      <w:r w:rsidRPr="003076AC">
        <w:rPr>
          <w:rFonts w:asciiTheme="minorHAnsi" w:eastAsia="Calibri" w:hAnsiTheme="minorHAnsi" w:cstheme="minorHAnsi"/>
          <w:i/>
          <w:sz w:val="20"/>
        </w:rPr>
        <w:t>jeżeli Wykonawcy wspólnie ubiegają się o udzielenie zamówienia dokument składa każdy z nich)</w:t>
      </w:r>
      <w:r w:rsidRPr="003076AC">
        <w:rPr>
          <w:rFonts w:asciiTheme="minorHAnsi" w:eastAsia="Calibri" w:hAnsiTheme="minorHAnsi" w:cstheme="minorHAnsi"/>
          <w:sz w:val="20"/>
        </w:rPr>
        <w:t>;</w:t>
      </w:r>
    </w:p>
    <w:p w14:paraId="4CEF325F" w14:textId="77777777" w:rsidR="00AA604B" w:rsidRDefault="001B66EE" w:rsidP="00AA604B">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0DF38713" w14:textId="726F9093" w:rsidR="00AA604B" w:rsidRDefault="00AA604B" w:rsidP="00AA604B">
      <w:pPr>
        <w:pStyle w:val="Akapitzlist"/>
        <w:numPr>
          <w:ilvl w:val="1"/>
          <w:numId w:val="4"/>
        </w:numPr>
        <w:shd w:val="clear" w:color="auto" w:fill="FFFFFF" w:themeFill="background1"/>
        <w:spacing w:line="240" w:lineRule="auto"/>
        <w:rPr>
          <w:rFonts w:asciiTheme="minorHAnsi" w:eastAsia="Calibri" w:hAnsiTheme="minorHAnsi" w:cstheme="minorHAnsi"/>
          <w:sz w:val="20"/>
        </w:rPr>
      </w:pPr>
      <w:r w:rsidRPr="00AA604B">
        <w:rPr>
          <w:rFonts w:asciiTheme="minorHAnsi" w:eastAsia="Calibri" w:hAnsiTheme="minorHAnsi" w:cstheme="minorHAnsi"/>
          <w:sz w:val="20"/>
        </w:rPr>
        <w:t>Oświadczenie o doświadczeniu zawodowym, o którym mowa w pkt 1.2.1.</w:t>
      </w:r>
      <w:r>
        <w:rPr>
          <w:rFonts w:asciiTheme="minorHAnsi" w:eastAsia="Calibri" w:hAnsiTheme="minorHAnsi" w:cstheme="minorHAnsi"/>
          <w:sz w:val="20"/>
        </w:rPr>
        <w:t xml:space="preserve"> a) </w:t>
      </w:r>
      <w:r w:rsidRPr="00AA604B">
        <w:rPr>
          <w:rFonts w:asciiTheme="minorHAnsi" w:eastAsia="Calibri" w:hAnsiTheme="minorHAnsi" w:cstheme="minorHAnsi"/>
          <w:sz w:val="20"/>
        </w:rPr>
        <w:t>powyżej, (</w:t>
      </w:r>
      <w:r w:rsidRPr="00AA604B">
        <w:rPr>
          <w:rFonts w:asciiTheme="minorHAnsi" w:eastAsia="Calibri" w:hAnsiTheme="minorHAnsi" w:cstheme="minorHAnsi"/>
          <w:b/>
          <w:sz w:val="20"/>
        </w:rPr>
        <w:t>zgodnie z treścią  Załącznika nr 7 do SWZ</w:t>
      </w:r>
      <w:r w:rsidRPr="00AA604B">
        <w:rPr>
          <w:rFonts w:asciiTheme="minorHAnsi" w:eastAsia="Calibri" w:hAnsiTheme="minorHAnsi" w:cstheme="minorHAnsi"/>
          <w:sz w:val="20"/>
        </w:rPr>
        <w:t>)</w:t>
      </w:r>
      <w:r w:rsidR="00D0163A" w:rsidRPr="00AA604B">
        <w:rPr>
          <w:rFonts w:asciiTheme="minorHAnsi" w:eastAsia="Calibri" w:hAnsiTheme="minorHAnsi" w:cstheme="minorHAnsi"/>
          <w:sz w:val="20"/>
        </w:rPr>
        <w:t>.</w:t>
      </w:r>
    </w:p>
    <w:p w14:paraId="06A266A1" w14:textId="0191EB2C" w:rsidR="00AA604B" w:rsidRPr="006B1354" w:rsidRDefault="00EE2B69" w:rsidP="00AA604B">
      <w:pPr>
        <w:pStyle w:val="Akapitzlist"/>
        <w:numPr>
          <w:ilvl w:val="1"/>
          <w:numId w:val="4"/>
        </w:numPr>
        <w:shd w:val="clear" w:color="auto" w:fill="FFFFFF" w:themeFill="background1"/>
        <w:spacing w:line="240" w:lineRule="auto"/>
        <w:rPr>
          <w:rFonts w:asciiTheme="minorHAnsi" w:eastAsia="Calibri" w:hAnsiTheme="minorHAnsi" w:cstheme="minorHAnsi"/>
          <w:sz w:val="20"/>
        </w:rPr>
      </w:pPr>
      <w:r w:rsidRPr="00AA604B">
        <w:rPr>
          <w:rFonts w:asciiTheme="minorHAnsi" w:eastAsia="Calibri" w:hAnsiTheme="minorHAnsi" w:cstheme="minorHAnsi"/>
          <w:bCs/>
          <w:sz w:val="20"/>
        </w:rPr>
        <w:t>Oświadczenie o dysponowaniu osobami posiadającymi uprawnienia/kwalifikacje niezbędne do realizacji przedmiotu zamówienia,</w:t>
      </w:r>
      <w:r w:rsidR="00D0163A" w:rsidRPr="00AA604B">
        <w:rPr>
          <w:rFonts w:asciiTheme="minorHAnsi" w:eastAsia="Calibri" w:hAnsiTheme="minorHAnsi" w:cstheme="minorHAnsi"/>
          <w:bCs/>
          <w:sz w:val="20"/>
        </w:rPr>
        <w:t xml:space="preserve"> o których mowa w pkt 1.2.1 b</w:t>
      </w:r>
      <w:r w:rsidR="002F1A94" w:rsidRPr="00AA604B">
        <w:rPr>
          <w:rFonts w:asciiTheme="minorHAnsi" w:eastAsia="Calibri" w:hAnsiTheme="minorHAnsi" w:cstheme="minorHAnsi"/>
          <w:bCs/>
          <w:sz w:val="20"/>
        </w:rPr>
        <w:t xml:space="preserve">) </w:t>
      </w:r>
      <w:r w:rsidRPr="00AA604B">
        <w:rPr>
          <w:rFonts w:asciiTheme="minorHAnsi" w:eastAsia="Calibri" w:hAnsiTheme="minorHAnsi" w:cstheme="minorHAnsi"/>
          <w:bCs/>
          <w:sz w:val="20"/>
        </w:rPr>
        <w:t>powyżej, (</w:t>
      </w:r>
      <w:r w:rsidRPr="00AA604B">
        <w:rPr>
          <w:rFonts w:asciiTheme="minorHAnsi" w:eastAsia="Calibri" w:hAnsiTheme="minorHAnsi" w:cstheme="minorHAnsi"/>
          <w:b/>
          <w:bCs/>
          <w:sz w:val="20"/>
        </w:rPr>
        <w:t>zgodnie z treścią Załącznika nr 8 do SWZ</w:t>
      </w:r>
      <w:r w:rsidRPr="00AA604B">
        <w:rPr>
          <w:rFonts w:asciiTheme="minorHAnsi" w:eastAsia="Calibri" w:hAnsiTheme="minorHAnsi" w:cstheme="minorHAnsi"/>
          <w:bCs/>
          <w:sz w:val="20"/>
        </w:rPr>
        <w:t>);</w:t>
      </w:r>
    </w:p>
    <w:p w14:paraId="3465A43B" w14:textId="41E2B9D0" w:rsidR="001B66EE" w:rsidRPr="001B66EE"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1B66EE">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F35DA3">
        <w:rPr>
          <w:rFonts w:asciiTheme="minorHAnsi" w:eastAsia="Calibri" w:hAnsiTheme="minorHAnsi" w:cstheme="minorHAnsi"/>
          <w:sz w:val="20"/>
        </w:rPr>
        <w:t xml:space="preserve">                   </w:t>
      </w:r>
      <w:r w:rsidRPr="001B66EE">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9982747"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1B66EE">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770FC9ED" w14:textId="77777777"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7A3138">
        <w:rPr>
          <w:rFonts w:asciiTheme="minorHAnsi" w:eastAsia="Calibri" w:hAnsiTheme="minorHAnsi" w:cstheme="minorHAnsi"/>
          <w:sz w:val="20"/>
        </w:rPr>
        <w:lastRenderedPageBreak/>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BD18BBF" w14:textId="1E1126DB" w:rsidR="001B66EE" w:rsidRDefault="00EE2B69" w:rsidP="001B66EE">
      <w:pPr>
        <w:pStyle w:val="Akapitzlist"/>
        <w:shd w:val="clear" w:color="auto" w:fill="FFFFFF" w:themeFill="background1"/>
        <w:spacing w:line="240" w:lineRule="auto"/>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F35DA3">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35C51DE" w14:textId="09EAE3BE" w:rsidR="001B66EE" w:rsidRPr="002F1A94" w:rsidRDefault="00EE2B69" w:rsidP="001B66EE">
      <w:pPr>
        <w:pStyle w:val="Akapitzlist"/>
        <w:numPr>
          <w:ilvl w:val="1"/>
          <w:numId w:val="4"/>
        </w:numPr>
        <w:shd w:val="clear" w:color="auto" w:fill="FFFFFF" w:themeFill="background1"/>
        <w:spacing w:line="240" w:lineRule="auto"/>
        <w:rPr>
          <w:rFonts w:asciiTheme="minorHAnsi" w:hAnsiTheme="minorHAnsi" w:cstheme="minorHAnsi"/>
          <w:sz w:val="20"/>
          <w:lang w:eastAsia="pl-PL"/>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582007">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3BABFC22" w14:textId="77777777" w:rsidR="001B66EE" w:rsidRPr="001B66EE" w:rsidRDefault="001B66EE" w:rsidP="001B66EE">
      <w:pPr>
        <w:shd w:val="clear" w:color="auto" w:fill="FFFFFF" w:themeFill="background1"/>
        <w:spacing w:line="240" w:lineRule="auto"/>
        <w:rPr>
          <w:rFonts w:asciiTheme="minorHAnsi" w:hAnsiTheme="minorHAnsi" w:cstheme="minorHAnsi"/>
          <w:sz w:val="20"/>
          <w:lang w:eastAsia="pl-PL"/>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635A5B76"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w:t>
      </w:r>
      <w:r w:rsidR="001B66EE">
        <w:rPr>
          <w:rFonts w:asciiTheme="minorHAnsi" w:hAnsiTheme="minorHAnsi" w:cstheme="minorHAnsi"/>
          <w:b/>
          <w:sz w:val="20"/>
        </w:rPr>
        <w:t>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1A6D08FD"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w:t>
      </w:r>
      <w:r w:rsidR="00467587">
        <w:rPr>
          <w:rFonts w:asciiTheme="minorHAnsi" w:hAnsiTheme="minorHAnsi" w:cstheme="minorHAnsi"/>
          <w:sz w:val="20"/>
        </w:rPr>
        <w:t>. 2.1., 2.2., 2.4., 2.5., 2.6., 2.7.,</w:t>
      </w:r>
      <w:bookmarkStart w:id="1" w:name="_GoBack"/>
      <w:bookmarkEnd w:id="1"/>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xml:space="preserve">., 3.5.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8836BC">
        <w:rPr>
          <w:rFonts w:asciiTheme="minorHAnsi" w:hAnsiTheme="minorHAnsi" w:cstheme="minorHAnsi"/>
          <w:sz w:val="20"/>
        </w:rPr>
        <w:t xml:space="preserve">   </w:t>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3B88CF72"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lastRenderedPageBreak/>
        <w:t>W przypadku wspólnego ubiegania się podmiotów o udzielenie zamówienia na podstawie zawartej umowy, każdy z Wykonawców dołącza do oferty dokumenty wymienione w pkt 2.2.</w:t>
      </w:r>
      <w:r w:rsidR="00F35DA3">
        <w:rPr>
          <w:rFonts w:asciiTheme="minorHAnsi" w:hAnsiTheme="minorHAnsi" w:cstheme="minorHAnsi"/>
          <w:sz w:val="20"/>
        </w:rPr>
        <w:t>, 2.3., 3.3., 3.4., 3.5. i 3.6.,</w:t>
      </w:r>
      <w:r w:rsidRPr="000F42C7">
        <w:rPr>
          <w:rFonts w:asciiTheme="minorHAnsi" w:hAnsiTheme="minorHAnsi" w:cstheme="minorHAnsi"/>
          <w:sz w:val="20"/>
        </w:rPr>
        <w:t xml:space="preserve"> zaś podane w </w:t>
      </w:r>
      <w:r>
        <w:rPr>
          <w:rFonts w:asciiTheme="minorHAnsi" w:hAnsiTheme="minorHAnsi" w:cstheme="minorHAnsi"/>
          <w:sz w:val="20"/>
        </w:rPr>
        <w:t>pkt 2.1., 2.4., 2.5., 2.6.</w:t>
      </w:r>
      <w:r w:rsidR="00467587">
        <w:rPr>
          <w:rFonts w:asciiTheme="minorHAnsi" w:hAnsiTheme="minorHAnsi" w:cstheme="minorHAnsi"/>
          <w:sz w:val="20"/>
        </w:rPr>
        <w:t>, 2.7.</w:t>
      </w:r>
      <w:r w:rsidR="000B0455">
        <w:rPr>
          <w:rFonts w:asciiTheme="minorHAnsi" w:hAnsiTheme="minorHAnsi" w:cstheme="minorHAnsi"/>
          <w:sz w:val="20"/>
        </w:rPr>
        <w:t xml:space="preserve">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688276A6"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8836BC">
        <w:rPr>
          <w:rFonts w:asciiTheme="minorHAnsi" w:hAnsiTheme="minorHAnsi" w:cstheme="minorHAnsi"/>
          <w:sz w:val="20"/>
        </w:rPr>
        <w:t xml:space="preserve">                </w:t>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74048EBE"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8836BC">
        <w:rPr>
          <w:rFonts w:asciiTheme="minorHAnsi" w:hAnsiTheme="minorHAnsi" w:cstheme="minorHAnsi"/>
          <w:sz w:val="20"/>
        </w:rPr>
        <w:t xml:space="preserve"> </w:t>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0C6F9" w14:textId="77777777" w:rsidR="0015571E" w:rsidRDefault="0015571E" w:rsidP="004A302B">
      <w:pPr>
        <w:spacing w:line="240" w:lineRule="auto"/>
      </w:pPr>
      <w:r>
        <w:separator/>
      </w:r>
    </w:p>
  </w:endnote>
  <w:endnote w:type="continuationSeparator" w:id="0">
    <w:p w14:paraId="49D8A8E2" w14:textId="77777777" w:rsidR="0015571E" w:rsidRDefault="001557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CA5E8C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67587">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67587">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DB319" w14:textId="77777777" w:rsidR="0015571E" w:rsidRDefault="0015571E" w:rsidP="004A302B">
      <w:pPr>
        <w:spacing w:line="240" w:lineRule="auto"/>
      </w:pPr>
      <w:r>
        <w:separator/>
      </w:r>
    </w:p>
  </w:footnote>
  <w:footnote w:type="continuationSeparator" w:id="0">
    <w:p w14:paraId="473C64A5" w14:textId="77777777" w:rsidR="0015571E" w:rsidRDefault="0015571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3982E14" w:rsidR="002369B6" w:rsidRDefault="009001E6"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66432" behindDoc="1" locked="0" layoutInCell="1" allowOverlap="1" wp14:anchorId="741EA056" wp14:editId="44BAF367">
          <wp:simplePos x="0" y="0"/>
          <wp:positionH relativeFrom="page">
            <wp:posOffset>349885</wp:posOffset>
          </wp:positionH>
          <wp:positionV relativeFrom="page">
            <wp:posOffset>307112</wp:posOffset>
          </wp:positionV>
          <wp:extent cx="929031" cy="721186"/>
          <wp:effectExtent l="0" t="0" r="4445" b="317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031" cy="72118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951A46" w14:textId="20198E31" w:rsidR="002369B6" w:rsidRPr="00A31C7C" w:rsidRDefault="002369B6" w:rsidP="000E764B">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35DA3">
          <w:rPr>
            <w:rFonts w:asciiTheme="minorHAnsi" w:hAnsiTheme="minorHAnsi" w:cstheme="minorHAnsi"/>
            <w:b/>
            <w:sz w:val="18"/>
            <w:szCs w:val="18"/>
          </w:rPr>
          <w:t>POST/DYS/OLD/GZ/0</w:t>
        </w:r>
        <w:r w:rsidR="00467587">
          <w:rPr>
            <w:rFonts w:asciiTheme="minorHAnsi" w:hAnsiTheme="minorHAnsi" w:cstheme="minorHAnsi"/>
            <w:b/>
            <w:sz w:val="18"/>
            <w:szCs w:val="18"/>
          </w:rPr>
          <w:t>2120</w:t>
        </w:r>
        <w:r w:rsidR="00CE1489">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448DD6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0455"/>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4B"/>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71E"/>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77C8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6EE"/>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035D"/>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2F02"/>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4"/>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186"/>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4D0F"/>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347A"/>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4A5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587"/>
    <w:rsid w:val="00467DA9"/>
    <w:rsid w:val="004704AB"/>
    <w:rsid w:val="0047096D"/>
    <w:rsid w:val="00471571"/>
    <w:rsid w:val="00471E73"/>
    <w:rsid w:val="004723E9"/>
    <w:rsid w:val="00474A5B"/>
    <w:rsid w:val="00474FC5"/>
    <w:rsid w:val="00475757"/>
    <w:rsid w:val="00477D82"/>
    <w:rsid w:val="00483C1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1FB8"/>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2007"/>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42F2"/>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1354"/>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B90"/>
    <w:rsid w:val="00862D0A"/>
    <w:rsid w:val="0086542E"/>
    <w:rsid w:val="00865E3B"/>
    <w:rsid w:val="00865F25"/>
    <w:rsid w:val="00867C48"/>
    <w:rsid w:val="008700D0"/>
    <w:rsid w:val="00870C5A"/>
    <w:rsid w:val="0087290E"/>
    <w:rsid w:val="0087310E"/>
    <w:rsid w:val="00876028"/>
    <w:rsid w:val="00876BC6"/>
    <w:rsid w:val="00877A05"/>
    <w:rsid w:val="00877F1D"/>
    <w:rsid w:val="00880069"/>
    <w:rsid w:val="00880C90"/>
    <w:rsid w:val="00881138"/>
    <w:rsid w:val="008836BC"/>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BEC"/>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1E6"/>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9676C"/>
    <w:rsid w:val="00AA063E"/>
    <w:rsid w:val="00AA06CD"/>
    <w:rsid w:val="00AA09DA"/>
    <w:rsid w:val="00AA35C5"/>
    <w:rsid w:val="00AA381F"/>
    <w:rsid w:val="00AA604B"/>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D6F"/>
    <w:rsid w:val="00B94FCA"/>
    <w:rsid w:val="00B95E02"/>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4521"/>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1C78"/>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4FB"/>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48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163A"/>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0682"/>
    <w:rsid w:val="00E81367"/>
    <w:rsid w:val="00E8230E"/>
    <w:rsid w:val="00E82DF1"/>
    <w:rsid w:val="00E831C3"/>
    <w:rsid w:val="00E85104"/>
    <w:rsid w:val="00E85487"/>
    <w:rsid w:val="00E85943"/>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5DA3"/>
    <w:rsid w:val="00F36A6E"/>
    <w:rsid w:val="00F37412"/>
    <w:rsid w:val="00F3754A"/>
    <w:rsid w:val="00F425BE"/>
    <w:rsid w:val="00F42885"/>
    <w:rsid w:val="00F43C4D"/>
    <w:rsid w:val="00F451AA"/>
    <w:rsid w:val="00F45C0D"/>
    <w:rsid w:val="00F46B8A"/>
    <w:rsid w:val="00F47B9F"/>
    <w:rsid w:val="00F5061C"/>
    <w:rsid w:val="00F50C8A"/>
    <w:rsid w:val="00F50D98"/>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58E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A31F5"/>
    <w:rsid w:val="004B30AB"/>
    <w:rsid w:val="00504382"/>
    <w:rsid w:val="00504B11"/>
    <w:rsid w:val="00521443"/>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336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2800"/>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POST/DYS/OLD/GZ/02120/2025                        </dmsv2SWPP2ObjectNumber>
    <dmsv2SWPP2SumMD5 xmlns="http://schemas.microsoft.com/sharepoint/v3">d7d6bb255abcc201f2db98dbf044d74d</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22626530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M37YNRNYPV7A-513987650-22288</_dlc_DocId>
    <_dlc_DocIdUrl xmlns="a19cb1c7-c5c7-46d4-85ae-d83685407bba">
      <Url>https://swpp2.dms.gkpge.pl/sites/37/_layouts/15/DocIdRedir.aspx?ID=M37YNRNYPV7A-513987650-22288</Url>
      <Description>M37YNRNYPV7A-513987650-22288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8B65C43-115E-45D6-9BAC-A1D8F85724E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6AE3C77-77B2-45A4-9E14-56D51D6E8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3347</Words>
  <Characters>20083</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POST/DYS/OLD/GZ/02120/2025</dc:subject>
  <dc:creator>Kurpiewska Katarzyna [PGE S.A.]</dc:creator>
  <cp:lastModifiedBy>Gaworska Agata [PGE Dystr. O.Łódź]</cp:lastModifiedBy>
  <cp:revision>57</cp:revision>
  <cp:lastPrinted>2021-08-10T08:10:00Z</cp:lastPrinted>
  <dcterms:created xsi:type="dcterms:W3CDTF">2022-04-28T07:16:00Z</dcterms:created>
  <dcterms:modified xsi:type="dcterms:W3CDTF">2025-06-03T07:44:00Z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86685e8f-9af6-457d-9d40-3246735925ea</vt:lpwstr>
  </property>
</Properties>
</file>