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6F4" w:rsidRDefault="00EB76F4" w:rsidP="00EB76F4">
      <w:pPr>
        <w:outlineLvl w:val="1"/>
        <w:rPr>
          <w:rStyle w:val="Pogrubienie"/>
          <w:rFonts w:ascii="Arial" w:eastAsiaTheme="majorEastAsia" w:hAnsi="Arial" w:cs="Arial"/>
          <w:color w:val="000000"/>
          <w:sz w:val="18"/>
          <w:szCs w:val="18"/>
          <w:shd w:val="clear" w:color="auto" w:fill="FDFDFD"/>
        </w:rPr>
      </w:pPr>
      <w:bookmarkStart w:id="0" w:name="_Toc516738908"/>
      <w:bookmarkStart w:id="1" w:name="_Toc18928752"/>
      <w:r>
        <w:rPr>
          <w:rStyle w:val="Pogrubienie"/>
          <w:rFonts w:ascii="Arial" w:eastAsiaTheme="majorEastAsia" w:hAnsi="Arial" w:cs="Arial"/>
          <w:color w:val="000000"/>
          <w:sz w:val="18"/>
          <w:szCs w:val="18"/>
          <w:shd w:val="clear" w:color="auto" w:fill="FDFDFD"/>
        </w:rPr>
        <w:t>POST/DYS/OLD/GZ/02117/2025</w:t>
      </w:r>
    </w:p>
    <w:p w:rsidR="009A4EA9" w:rsidRPr="00577F70" w:rsidRDefault="00C244DC" w:rsidP="00A473BE">
      <w:pPr>
        <w:pStyle w:val="Nagwek1"/>
        <w:shd w:val="clear" w:color="auto" w:fill="C6D9F1" w:themeFill="text2" w:themeFillTint="33"/>
        <w:rPr>
          <w:rFonts w:cstheme="minorHAnsi"/>
          <w:color w:val="00B0F0"/>
          <w:sz w:val="20"/>
          <w:szCs w:val="20"/>
        </w:rPr>
      </w:pPr>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1C0B81" w:rsidRPr="00EB76F4" w:rsidRDefault="00EB76F4" w:rsidP="001C0B81">
      <w:pPr>
        <w:jc w:val="center"/>
        <w:rPr>
          <w:rFonts w:asciiTheme="minorHAnsi" w:hAnsiTheme="minorHAnsi" w:cstheme="minorHAnsi"/>
          <w:b/>
          <w:i/>
          <w:szCs w:val="22"/>
        </w:rPr>
      </w:pPr>
      <w:r w:rsidRPr="00EB76F4">
        <w:rPr>
          <w:rFonts w:asciiTheme="minorHAnsi" w:hAnsiTheme="minorHAnsi" w:cstheme="minorHAnsi"/>
          <w:b/>
          <w:i/>
          <w:szCs w:val="22"/>
        </w:rPr>
        <w:t xml:space="preserve">Część 5:   </w:t>
      </w:r>
      <w:r w:rsidR="001C0B81" w:rsidRPr="00EB76F4">
        <w:rPr>
          <w:rFonts w:asciiTheme="minorHAnsi" w:hAnsiTheme="minorHAnsi" w:cstheme="minorHAnsi"/>
          <w:b/>
          <w:i/>
          <w:szCs w:val="22"/>
        </w:rPr>
        <w:t xml:space="preserve">„Wykonanie dokumentacji projektowej  oraz wymianę istniejącej linii napowietrznej </w:t>
      </w:r>
      <w:proofErr w:type="spellStart"/>
      <w:r w:rsidR="001C0B81" w:rsidRPr="00EB76F4">
        <w:rPr>
          <w:rFonts w:asciiTheme="minorHAnsi" w:hAnsiTheme="minorHAnsi" w:cstheme="minorHAnsi"/>
          <w:b/>
          <w:i/>
          <w:szCs w:val="22"/>
        </w:rPr>
        <w:t>nn</w:t>
      </w:r>
      <w:proofErr w:type="spellEnd"/>
      <w:r w:rsidR="001C0B81" w:rsidRPr="00EB76F4">
        <w:rPr>
          <w:rFonts w:asciiTheme="minorHAnsi" w:hAnsiTheme="minorHAnsi" w:cstheme="minorHAnsi"/>
          <w:b/>
          <w:i/>
          <w:szCs w:val="22"/>
        </w:rPr>
        <w:t xml:space="preserve"> na terenie Rejonu Energetyczn</w:t>
      </w:r>
      <w:r w:rsidR="00A324A6" w:rsidRPr="00EB76F4">
        <w:rPr>
          <w:rFonts w:asciiTheme="minorHAnsi" w:hAnsiTheme="minorHAnsi" w:cstheme="minorHAnsi"/>
          <w:b/>
          <w:i/>
          <w:szCs w:val="22"/>
        </w:rPr>
        <w:t>ego Zgierz-Pabianice - Obwód</w:t>
      </w:r>
      <w:r w:rsidR="00526CE6" w:rsidRPr="00EB76F4">
        <w:rPr>
          <w:rFonts w:asciiTheme="minorHAnsi" w:hAnsiTheme="minorHAnsi" w:cstheme="minorHAnsi"/>
          <w:b/>
          <w:i/>
          <w:szCs w:val="22"/>
        </w:rPr>
        <w:t xml:space="preserve"> </w:t>
      </w:r>
      <w:r w:rsidR="00DF4F2A" w:rsidRPr="00EB76F4">
        <w:rPr>
          <w:rFonts w:asciiTheme="minorHAnsi" w:hAnsiTheme="minorHAnsi" w:cstheme="minorHAnsi"/>
          <w:b/>
          <w:i/>
          <w:szCs w:val="22"/>
        </w:rPr>
        <w:t>2</w:t>
      </w:r>
      <w:r w:rsidR="00A324A6" w:rsidRPr="00EB76F4">
        <w:rPr>
          <w:rFonts w:asciiTheme="minorHAnsi" w:hAnsiTheme="minorHAnsi" w:cstheme="minorHAnsi"/>
          <w:b/>
          <w:i/>
          <w:szCs w:val="22"/>
        </w:rPr>
        <w:t xml:space="preserve"> kierunek </w:t>
      </w:r>
      <w:r w:rsidR="00DF4F2A" w:rsidRPr="00EB76F4">
        <w:rPr>
          <w:rFonts w:asciiTheme="minorHAnsi" w:hAnsiTheme="minorHAnsi" w:cstheme="minorHAnsi"/>
          <w:b/>
          <w:i/>
          <w:szCs w:val="22"/>
        </w:rPr>
        <w:t>ul. Cicha</w:t>
      </w:r>
      <w:r w:rsidR="00526CE6" w:rsidRPr="00EB76F4">
        <w:rPr>
          <w:rFonts w:asciiTheme="minorHAnsi" w:hAnsiTheme="minorHAnsi" w:cstheme="minorHAnsi"/>
          <w:b/>
          <w:i/>
          <w:szCs w:val="22"/>
        </w:rPr>
        <w:t xml:space="preserve">, </w:t>
      </w:r>
      <w:r w:rsidR="00A324A6" w:rsidRPr="00EB76F4">
        <w:rPr>
          <w:rFonts w:asciiTheme="minorHAnsi" w:hAnsiTheme="minorHAnsi" w:cstheme="minorHAnsi"/>
          <w:b/>
          <w:i/>
          <w:szCs w:val="22"/>
        </w:rPr>
        <w:t xml:space="preserve">Obwód </w:t>
      </w:r>
      <w:r w:rsidR="00DF4F2A" w:rsidRPr="00EB76F4">
        <w:rPr>
          <w:rFonts w:asciiTheme="minorHAnsi" w:hAnsiTheme="minorHAnsi" w:cstheme="minorHAnsi"/>
          <w:b/>
          <w:i/>
          <w:szCs w:val="22"/>
        </w:rPr>
        <w:t>3</w:t>
      </w:r>
      <w:r w:rsidR="00526CE6" w:rsidRPr="00EB76F4">
        <w:rPr>
          <w:rFonts w:asciiTheme="minorHAnsi" w:hAnsiTheme="minorHAnsi" w:cstheme="minorHAnsi"/>
          <w:b/>
          <w:i/>
          <w:szCs w:val="22"/>
        </w:rPr>
        <w:t xml:space="preserve"> </w:t>
      </w:r>
      <w:r w:rsidR="00A324A6" w:rsidRPr="00EB76F4">
        <w:rPr>
          <w:rFonts w:asciiTheme="minorHAnsi" w:hAnsiTheme="minorHAnsi" w:cstheme="minorHAnsi"/>
          <w:b/>
          <w:i/>
          <w:szCs w:val="22"/>
        </w:rPr>
        <w:t xml:space="preserve">kierunek </w:t>
      </w:r>
      <w:r w:rsidR="00DF4F2A" w:rsidRPr="00EB76F4">
        <w:rPr>
          <w:rFonts w:asciiTheme="minorHAnsi" w:hAnsiTheme="minorHAnsi" w:cstheme="minorHAnsi"/>
          <w:b/>
          <w:i/>
          <w:szCs w:val="22"/>
        </w:rPr>
        <w:t>ul. Obrońców 1939r.</w:t>
      </w:r>
      <w:r w:rsidR="00A324A6" w:rsidRPr="00EB76F4">
        <w:rPr>
          <w:rFonts w:asciiTheme="minorHAnsi" w:hAnsiTheme="minorHAnsi" w:cstheme="minorHAnsi"/>
          <w:b/>
          <w:i/>
          <w:szCs w:val="22"/>
        </w:rPr>
        <w:t xml:space="preserve">, </w:t>
      </w:r>
      <w:r w:rsidR="00526CE6" w:rsidRPr="00EB76F4">
        <w:rPr>
          <w:rFonts w:asciiTheme="minorHAnsi" w:hAnsiTheme="minorHAnsi" w:cstheme="minorHAnsi"/>
          <w:b/>
          <w:i/>
          <w:szCs w:val="22"/>
        </w:rPr>
        <w:t xml:space="preserve">ze stacji </w:t>
      </w:r>
      <w:r w:rsidR="00DF4F2A" w:rsidRPr="00EB76F4">
        <w:rPr>
          <w:rFonts w:asciiTheme="minorHAnsi" w:hAnsiTheme="minorHAnsi" w:cstheme="minorHAnsi"/>
          <w:b/>
          <w:i/>
          <w:szCs w:val="22"/>
        </w:rPr>
        <w:t xml:space="preserve">40211 </w:t>
      </w:r>
      <w:proofErr w:type="spellStart"/>
      <w:r w:rsidR="00DF4F2A" w:rsidRPr="00EB76F4">
        <w:rPr>
          <w:rFonts w:asciiTheme="minorHAnsi" w:hAnsiTheme="minorHAnsi" w:cstheme="minorHAnsi"/>
          <w:b/>
          <w:i/>
          <w:szCs w:val="22"/>
        </w:rPr>
        <w:t>Kębliny</w:t>
      </w:r>
      <w:proofErr w:type="spellEnd"/>
      <w:r w:rsidR="00DF4F2A" w:rsidRPr="00EB76F4">
        <w:rPr>
          <w:rFonts w:asciiTheme="minorHAnsi" w:hAnsiTheme="minorHAnsi" w:cstheme="minorHAnsi"/>
          <w:b/>
          <w:i/>
          <w:szCs w:val="22"/>
        </w:rPr>
        <w:t xml:space="preserve"> Działki</w:t>
      </w:r>
      <w:r w:rsidR="001C0B81" w:rsidRPr="00EB76F4">
        <w:rPr>
          <w:rFonts w:asciiTheme="minorHAnsi" w:hAnsiTheme="minorHAnsi" w:cstheme="minorHAnsi"/>
          <w:b/>
          <w:i/>
          <w:szCs w:val="22"/>
        </w:rPr>
        <w:t>”</w:t>
      </w:r>
      <w:r w:rsidR="001B2C0D" w:rsidRPr="00EB76F4">
        <w:rPr>
          <w:rFonts w:asciiTheme="minorHAnsi" w:hAnsiTheme="minorHAnsi" w:cstheme="minorHAnsi"/>
          <w:b/>
          <w:i/>
          <w:szCs w:val="22"/>
        </w:rPr>
        <w:t xml:space="preserve"> – Pakiet 1</w:t>
      </w:r>
    </w:p>
    <w:p w:rsidR="002C2848" w:rsidRDefault="002C2848" w:rsidP="00A27EED">
      <w:pPr>
        <w:pStyle w:val="Akapitzlist"/>
        <w:spacing w:before="120" w:line="276" w:lineRule="auto"/>
        <w:jc w:val="center"/>
        <w:outlineLvl w:val="0"/>
        <w:rPr>
          <w:rFonts w:asciiTheme="minorHAnsi" w:hAnsiTheme="minorHAnsi" w:cstheme="minorHAnsi"/>
          <w:b/>
          <w:i/>
          <w:color w:val="FF0000"/>
          <w:sz w:val="20"/>
        </w:rPr>
      </w:pP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rsidR="009100C9" w:rsidRPr="001C0B81" w:rsidRDefault="009100C9" w:rsidP="009100C9">
      <w:pPr>
        <w:spacing w:before="120" w:line="276" w:lineRule="auto"/>
        <w:ind w:left="708"/>
        <w:outlineLvl w:val="0"/>
        <w:rPr>
          <w:rFonts w:asciiTheme="minorHAnsi" w:hAnsiTheme="minorHAnsi" w:cstheme="minorHAnsi"/>
          <w:b/>
          <w:i/>
          <w:sz w:val="20"/>
        </w:rPr>
      </w:pPr>
      <w:r w:rsidRPr="001C0B81">
        <w:rPr>
          <w:rFonts w:asciiTheme="minorHAnsi" w:hAnsiTheme="minorHAnsi" w:cstheme="minorHAnsi"/>
          <w:b/>
          <w:i/>
          <w:sz w:val="20"/>
        </w:rPr>
        <w:t xml:space="preserve">Zadanie 1 – Wymianę istniejącej linii napowietrznej </w:t>
      </w:r>
      <w:proofErr w:type="spellStart"/>
      <w:r w:rsidR="00764862" w:rsidRPr="001C0B81">
        <w:rPr>
          <w:rFonts w:asciiTheme="minorHAnsi" w:hAnsiTheme="minorHAnsi" w:cstheme="minorHAnsi"/>
          <w:b/>
          <w:i/>
          <w:sz w:val="20"/>
        </w:rPr>
        <w:t>nn</w:t>
      </w:r>
      <w:proofErr w:type="spellEnd"/>
      <w:r w:rsidRPr="001C0B81">
        <w:rPr>
          <w:rFonts w:asciiTheme="minorHAnsi" w:hAnsiTheme="minorHAnsi" w:cstheme="minorHAnsi"/>
          <w:b/>
          <w:i/>
          <w:sz w:val="20"/>
        </w:rPr>
        <w:t xml:space="preserve"> ze stacji 15/0,4kV </w:t>
      </w:r>
      <w:r w:rsidR="00DF4F2A">
        <w:rPr>
          <w:rFonts w:asciiTheme="minorHAnsi" w:hAnsiTheme="minorHAnsi" w:cstheme="minorHAnsi"/>
          <w:b/>
          <w:i/>
          <w:sz w:val="20"/>
        </w:rPr>
        <w:t>40211</w:t>
      </w:r>
      <w:r w:rsidR="00472606" w:rsidRPr="001C0B81">
        <w:rPr>
          <w:rFonts w:asciiTheme="minorHAnsi" w:hAnsiTheme="minorHAnsi" w:cstheme="minorHAnsi"/>
          <w:b/>
          <w:i/>
          <w:sz w:val="20"/>
        </w:rPr>
        <w:t xml:space="preserve"> pole </w:t>
      </w:r>
      <w:r w:rsidR="00DF4F2A">
        <w:rPr>
          <w:rFonts w:asciiTheme="minorHAnsi" w:hAnsiTheme="minorHAnsi" w:cstheme="minorHAnsi"/>
          <w:b/>
          <w:i/>
          <w:sz w:val="20"/>
        </w:rPr>
        <w:t>2</w:t>
      </w:r>
      <w:r w:rsidRPr="001C0B81">
        <w:rPr>
          <w:rFonts w:asciiTheme="minorHAnsi" w:hAnsiTheme="minorHAnsi" w:cstheme="minorHAnsi"/>
          <w:b/>
          <w:i/>
          <w:sz w:val="20"/>
        </w:rPr>
        <w:t xml:space="preserve"> o łącznej długości L= </w:t>
      </w:r>
      <w:r w:rsidR="00E14462">
        <w:rPr>
          <w:rFonts w:asciiTheme="minorHAnsi" w:hAnsiTheme="minorHAnsi" w:cstheme="minorHAnsi"/>
          <w:b/>
          <w:i/>
          <w:sz w:val="20"/>
        </w:rPr>
        <w:t>0,</w:t>
      </w:r>
      <w:r w:rsidR="00DF4F2A">
        <w:rPr>
          <w:rFonts w:asciiTheme="minorHAnsi" w:hAnsiTheme="minorHAnsi" w:cstheme="minorHAnsi"/>
          <w:b/>
          <w:i/>
          <w:sz w:val="20"/>
        </w:rPr>
        <w:t>075</w:t>
      </w:r>
      <w:r w:rsidRPr="001C0B81">
        <w:rPr>
          <w:rFonts w:asciiTheme="minorHAnsi" w:hAnsiTheme="minorHAnsi" w:cstheme="minorHAnsi"/>
          <w:b/>
          <w:i/>
          <w:sz w:val="20"/>
        </w:rPr>
        <w:t xml:space="preserve"> km,</w:t>
      </w:r>
    </w:p>
    <w:p w:rsidR="009100C9" w:rsidRPr="001C0B81" w:rsidRDefault="009100C9" w:rsidP="009100C9">
      <w:pPr>
        <w:pStyle w:val="Akapitzlist"/>
        <w:spacing w:before="120" w:line="276" w:lineRule="auto"/>
        <w:outlineLvl w:val="0"/>
        <w:rPr>
          <w:rFonts w:asciiTheme="minorHAnsi" w:hAnsiTheme="minorHAnsi" w:cstheme="minorHAnsi"/>
          <w:b/>
          <w:i/>
          <w:sz w:val="20"/>
        </w:rPr>
      </w:pPr>
      <w:r w:rsidRPr="001C0B81">
        <w:rPr>
          <w:rFonts w:asciiTheme="minorHAnsi" w:hAnsiTheme="minorHAnsi" w:cstheme="minorHAnsi"/>
          <w:b/>
          <w:i/>
          <w:sz w:val="20"/>
        </w:rPr>
        <w:t xml:space="preserve">Zadanie 2 – </w:t>
      </w:r>
      <w:r w:rsidR="00175C02" w:rsidRPr="001C0B81">
        <w:rPr>
          <w:rFonts w:asciiTheme="minorHAnsi" w:hAnsiTheme="minorHAnsi" w:cstheme="minorHAnsi"/>
          <w:b/>
          <w:i/>
          <w:sz w:val="20"/>
        </w:rPr>
        <w:t xml:space="preserve">Wymianę istniejącej linii napowietrznej </w:t>
      </w:r>
      <w:proofErr w:type="spellStart"/>
      <w:r w:rsidR="00175C02" w:rsidRPr="001C0B81">
        <w:rPr>
          <w:rFonts w:asciiTheme="minorHAnsi" w:hAnsiTheme="minorHAnsi" w:cstheme="minorHAnsi"/>
          <w:b/>
          <w:i/>
          <w:sz w:val="20"/>
        </w:rPr>
        <w:t>nn</w:t>
      </w:r>
      <w:proofErr w:type="spellEnd"/>
      <w:r w:rsidR="00175C02" w:rsidRPr="001C0B81">
        <w:rPr>
          <w:rFonts w:asciiTheme="minorHAnsi" w:hAnsiTheme="minorHAnsi" w:cstheme="minorHAnsi"/>
          <w:b/>
          <w:i/>
          <w:sz w:val="20"/>
        </w:rPr>
        <w:t xml:space="preserve"> ze stacji 15/0,4kV</w:t>
      </w:r>
      <w:r w:rsidR="00472606" w:rsidRPr="001C0B81">
        <w:rPr>
          <w:rFonts w:asciiTheme="minorHAnsi" w:hAnsiTheme="minorHAnsi" w:cstheme="minorHAnsi"/>
          <w:b/>
          <w:i/>
          <w:sz w:val="20"/>
        </w:rPr>
        <w:t xml:space="preserve"> </w:t>
      </w:r>
      <w:r w:rsidR="00DF4F2A">
        <w:rPr>
          <w:rFonts w:asciiTheme="minorHAnsi" w:hAnsiTheme="minorHAnsi" w:cstheme="minorHAnsi"/>
          <w:b/>
          <w:i/>
          <w:sz w:val="20"/>
        </w:rPr>
        <w:t>40211</w:t>
      </w:r>
      <w:r w:rsidR="007D7809" w:rsidRPr="001C0B81">
        <w:rPr>
          <w:rFonts w:asciiTheme="minorHAnsi" w:hAnsiTheme="minorHAnsi" w:cstheme="minorHAnsi"/>
          <w:b/>
          <w:i/>
          <w:sz w:val="20"/>
        </w:rPr>
        <w:t xml:space="preserve"> pole </w:t>
      </w:r>
      <w:r w:rsidR="00DF4F2A">
        <w:rPr>
          <w:rFonts w:asciiTheme="minorHAnsi" w:hAnsiTheme="minorHAnsi" w:cstheme="minorHAnsi"/>
          <w:b/>
          <w:i/>
          <w:sz w:val="20"/>
        </w:rPr>
        <w:t>3</w:t>
      </w:r>
      <w:r w:rsidR="00175C02" w:rsidRPr="001C0B81">
        <w:rPr>
          <w:rFonts w:asciiTheme="minorHAnsi" w:hAnsiTheme="minorHAnsi" w:cstheme="minorHAnsi"/>
          <w:b/>
          <w:i/>
          <w:sz w:val="20"/>
        </w:rPr>
        <w:t xml:space="preserve"> o łącznej długości L= </w:t>
      </w:r>
      <w:r w:rsidR="00DF4F2A">
        <w:rPr>
          <w:rFonts w:asciiTheme="minorHAnsi" w:hAnsiTheme="minorHAnsi" w:cstheme="minorHAnsi"/>
          <w:b/>
          <w:i/>
          <w:sz w:val="20"/>
        </w:rPr>
        <w:t>0,455</w:t>
      </w:r>
      <w:r w:rsidR="00175C02" w:rsidRPr="001C0B81">
        <w:rPr>
          <w:rFonts w:asciiTheme="minorHAnsi" w:hAnsiTheme="minorHAnsi" w:cstheme="minorHAnsi"/>
          <w:b/>
          <w:i/>
          <w:sz w:val="20"/>
        </w:rPr>
        <w:t xml:space="preserve"> km,</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472606">
        <w:rPr>
          <w:rFonts w:asciiTheme="minorHAnsi" w:hAnsiTheme="minorHAnsi" w:cstheme="minorHAnsi"/>
          <w:sz w:val="20"/>
        </w:rPr>
        <w:t>Zgierz-Pabianice.</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lastRenderedPageBreak/>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E14462" w:rsidRDefault="00E14462" w:rsidP="00511069">
      <w:pPr>
        <w:spacing w:before="120" w:line="276" w:lineRule="auto"/>
        <w:outlineLvl w:val="0"/>
        <w:rPr>
          <w:rFonts w:asciiTheme="minorHAnsi" w:hAnsiTheme="minorHAnsi" w:cstheme="minorHAnsi"/>
          <w:b/>
          <w:sz w:val="20"/>
        </w:rPr>
      </w:pPr>
      <w:r>
        <w:rPr>
          <w:rFonts w:asciiTheme="minorHAnsi" w:hAnsiTheme="minorHAnsi" w:cstheme="minorHAnsi"/>
          <w:b/>
          <w:sz w:val="20"/>
        </w:rPr>
        <w:t xml:space="preserve">Data odbioru projektu – </w:t>
      </w:r>
      <w:r w:rsidR="009839A4">
        <w:rPr>
          <w:rFonts w:asciiTheme="minorHAnsi" w:hAnsiTheme="minorHAnsi" w:cstheme="minorHAnsi"/>
          <w:b/>
          <w:sz w:val="20"/>
        </w:rPr>
        <w:t xml:space="preserve">do </w:t>
      </w:r>
      <w:r w:rsidR="00876639">
        <w:rPr>
          <w:rFonts w:asciiTheme="minorHAnsi" w:hAnsiTheme="minorHAnsi" w:cstheme="minorHAnsi"/>
          <w:b/>
          <w:sz w:val="20"/>
        </w:rPr>
        <w:t>1</w:t>
      </w:r>
      <w:r w:rsidR="00842743">
        <w:rPr>
          <w:rFonts w:asciiTheme="minorHAnsi" w:hAnsiTheme="minorHAnsi" w:cstheme="minorHAnsi"/>
          <w:b/>
          <w:sz w:val="20"/>
        </w:rPr>
        <w:t>5</w:t>
      </w:r>
      <w:r>
        <w:rPr>
          <w:rFonts w:asciiTheme="minorHAnsi" w:hAnsiTheme="minorHAnsi" w:cstheme="minorHAnsi"/>
          <w:b/>
          <w:sz w:val="20"/>
        </w:rPr>
        <w:t>.0</w:t>
      </w:r>
      <w:r w:rsidR="00876639">
        <w:rPr>
          <w:rFonts w:asciiTheme="minorHAnsi" w:hAnsiTheme="minorHAnsi" w:cstheme="minorHAnsi"/>
          <w:b/>
          <w:sz w:val="20"/>
        </w:rPr>
        <w:t>9</w:t>
      </w:r>
      <w:r>
        <w:rPr>
          <w:rFonts w:asciiTheme="minorHAnsi" w:hAnsiTheme="minorHAnsi" w:cstheme="minorHAnsi"/>
          <w:b/>
          <w:sz w:val="20"/>
        </w:rPr>
        <w:t>.2025</w:t>
      </w:r>
      <w:r w:rsidR="009839A4">
        <w:rPr>
          <w:rFonts w:asciiTheme="minorHAnsi" w:hAnsiTheme="minorHAnsi" w:cstheme="minorHAnsi"/>
          <w:b/>
          <w:sz w:val="20"/>
        </w:rPr>
        <w:t>r.</w:t>
      </w:r>
      <w:r>
        <w:rPr>
          <w:rFonts w:asciiTheme="minorHAnsi" w:hAnsiTheme="minorHAnsi" w:cstheme="minorHAnsi"/>
          <w:b/>
          <w:sz w:val="20"/>
        </w:rPr>
        <w:t xml:space="preserve"> </w:t>
      </w:r>
      <w:r w:rsidR="009839A4">
        <w:rPr>
          <w:rFonts w:asciiTheme="minorHAnsi" w:hAnsiTheme="minorHAnsi" w:cstheme="minorHAnsi"/>
          <w:b/>
          <w:sz w:val="20"/>
        </w:rPr>
        <w:t>–</w:t>
      </w:r>
      <w:r>
        <w:rPr>
          <w:rFonts w:asciiTheme="minorHAnsi" w:hAnsiTheme="minorHAnsi" w:cstheme="minorHAnsi"/>
          <w:b/>
          <w:sz w:val="20"/>
        </w:rPr>
        <w:t xml:space="preserve"> </w:t>
      </w:r>
      <w:r w:rsidR="009839A4">
        <w:rPr>
          <w:rFonts w:asciiTheme="minorHAnsi" w:hAnsiTheme="minorHAnsi" w:cstheme="minorHAnsi"/>
          <w:b/>
          <w:sz w:val="20"/>
        </w:rPr>
        <w:t>dla wszystkich zadań.</w:t>
      </w:r>
    </w:p>
    <w:p w:rsidR="00A473BE" w:rsidRPr="004B4556" w:rsidRDefault="009839A4" w:rsidP="00A473BE">
      <w:pPr>
        <w:spacing w:before="120" w:line="276" w:lineRule="auto"/>
        <w:outlineLvl w:val="0"/>
        <w:rPr>
          <w:rFonts w:asciiTheme="minorHAnsi" w:hAnsiTheme="minorHAnsi" w:cstheme="minorHAnsi"/>
          <w:sz w:val="20"/>
        </w:rPr>
      </w:pPr>
      <w:r>
        <w:rPr>
          <w:rFonts w:asciiTheme="minorHAnsi" w:hAnsiTheme="minorHAnsi" w:cstheme="minorHAnsi"/>
          <w:b/>
          <w:sz w:val="20"/>
        </w:rPr>
        <w:t>Data zakończenia prac budowlano-montażowych - do</w:t>
      </w:r>
      <w:r w:rsidR="00472606">
        <w:rPr>
          <w:rFonts w:asciiTheme="minorHAnsi" w:hAnsiTheme="minorHAnsi" w:cstheme="minorHAnsi"/>
          <w:b/>
          <w:sz w:val="20"/>
        </w:rPr>
        <w:t xml:space="preserve"> 30.11.2025r</w:t>
      </w:r>
      <w:r w:rsidR="00472606" w:rsidRPr="009839A4">
        <w:rPr>
          <w:rFonts w:asciiTheme="minorHAnsi" w:hAnsiTheme="minorHAnsi" w:cstheme="minorHAnsi"/>
          <w:b/>
          <w:sz w:val="20"/>
        </w:rPr>
        <w:t>.</w:t>
      </w:r>
      <w:r w:rsidR="00472606" w:rsidRPr="009839A4">
        <w:rPr>
          <w:rFonts w:asciiTheme="minorHAnsi" w:hAnsiTheme="minorHAnsi" w:cstheme="minorHAnsi"/>
          <w:sz w:val="20"/>
        </w:rPr>
        <w:t xml:space="preserve"> </w:t>
      </w:r>
      <w:r w:rsidR="00A654B3" w:rsidRPr="009839A4">
        <w:rPr>
          <w:rFonts w:asciiTheme="minorHAnsi" w:hAnsiTheme="minorHAnsi" w:cstheme="minorHAnsi"/>
          <w:sz w:val="20"/>
        </w:rPr>
        <w:t xml:space="preserve"> </w:t>
      </w:r>
      <w:r w:rsidR="00A654B3" w:rsidRPr="009839A4">
        <w:rPr>
          <w:rFonts w:asciiTheme="minorHAnsi" w:hAnsiTheme="minorHAnsi" w:cstheme="minorHAnsi"/>
          <w:b/>
          <w:sz w:val="20"/>
        </w:rPr>
        <w:t>– dla wszystkich zadań</w:t>
      </w:r>
      <w:r>
        <w:rPr>
          <w:rFonts w:asciiTheme="minorHAnsi" w:hAnsiTheme="minorHAnsi" w:cstheme="minorHAnsi"/>
          <w:b/>
          <w:sz w:val="20"/>
        </w:rPr>
        <w:t xml:space="preserve"> </w:t>
      </w:r>
      <w:r w:rsidR="00511069" w:rsidRPr="00511069">
        <w:rPr>
          <w:rFonts w:asciiTheme="minorHAnsi" w:hAnsiTheme="minorHAnsi" w:cstheme="minorHAnsi"/>
          <w:sz w:val="20"/>
        </w:rPr>
        <w:t xml:space="preserve">oraz zgodnie z projektem Umowy zakupowej stanowiącym </w:t>
      </w:r>
      <w:r w:rsidR="00511069" w:rsidRPr="00511069">
        <w:rPr>
          <w:rFonts w:asciiTheme="minorHAnsi" w:hAnsiTheme="minorHAnsi" w:cstheme="minorHAnsi"/>
          <w:b/>
          <w:sz w:val="20"/>
        </w:rPr>
        <w:t>Załącznik nr 5 do SWZ</w:t>
      </w:r>
      <w:r w:rsidR="00511069"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12252">
        <w:rPr>
          <w:rFonts w:asciiTheme="minorHAnsi" w:hAnsiTheme="minorHAnsi" w:cstheme="minorHAnsi"/>
          <w:b/>
          <w:i/>
          <w:sz w:val="20"/>
        </w:rPr>
        <w:t>RE</w:t>
      </w:r>
      <w:r w:rsidR="00472606" w:rsidRPr="00A12252">
        <w:rPr>
          <w:rFonts w:asciiTheme="minorHAnsi" w:hAnsiTheme="minorHAnsi" w:cstheme="minorHAnsi"/>
          <w:b/>
          <w:i/>
          <w:sz w:val="20"/>
        </w:rPr>
        <w:t>8 Zgierz-Pabianice</w:t>
      </w:r>
      <w:r w:rsidRPr="00A12252">
        <w:rPr>
          <w:rFonts w:asciiTheme="minorHAnsi" w:hAnsiTheme="minorHAnsi" w:cstheme="minorHAnsi"/>
          <w:b/>
          <w:i/>
          <w:sz w:val="20"/>
        </w:rPr>
        <w:t xml:space="preserve"> [</w:t>
      </w:r>
      <w:r w:rsidR="00A12252" w:rsidRPr="00A12252">
        <w:rPr>
          <w:rFonts w:asciiTheme="minorHAnsi" w:hAnsiTheme="minorHAnsi" w:cstheme="minorHAnsi"/>
          <w:b/>
          <w:i/>
          <w:sz w:val="20"/>
        </w:rPr>
        <w:t xml:space="preserve">Obwody ze stacji </w:t>
      </w:r>
      <w:r w:rsidR="00DF4F2A">
        <w:rPr>
          <w:rFonts w:asciiTheme="minorHAnsi" w:hAnsiTheme="minorHAnsi" w:cstheme="minorHAnsi"/>
          <w:b/>
          <w:i/>
          <w:sz w:val="20"/>
        </w:rPr>
        <w:t>40211</w:t>
      </w:r>
      <w:r w:rsidR="00CA4EEE">
        <w:rPr>
          <w:rFonts w:asciiTheme="minorHAnsi" w:hAnsiTheme="minorHAnsi" w:cstheme="minorHAnsi"/>
          <w:b/>
          <w:i/>
          <w:sz w:val="20"/>
        </w:rPr>
        <w:t xml:space="preserve"> </w:t>
      </w:r>
      <w:proofErr w:type="spellStart"/>
      <w:r w:rsidR="00DF4F2A">
        <w:rPr>
          <w:rFonts w:asciiTheme="minorHAnsi" w:hAnsiTheme="minorHAnsi" w:cstheme="minorHAnsi"/>
          <w:b/>
          <w:i/>
          <w:sz w:val="20"/>
        </w:rPr>
        <w:t>Kębliny</w:t>
      </w:r>
      <w:proofErr w:type="spellEnd"/>
      <w:r w:rsidR="00DF4F2A">
        <w:rPr>
          <w:rFonts w:asciiTheme="minorHAnsi" w:hAnsiTheme="minorHAnsi" w:cstheme="minorHAnsi"/>
          <w:b/>
          <w:i/>
          <w:sz w:val="20"/>
        </w:rPr>
        <w:t xml:space="preserve"> Działki </w:t>
      </w:r>
      <w:r w:rsidR="00B1062A">
        <w:rPr>
          <w:rFonts w:asciiTheme="minorHAnsi" w:hAnsiTheme="minorHAnsi" w:cstheme="minorHAnsi"/>
          <w:b/>
          <w:i/>
          <w:sz w:val="20"/>
        </w:rPr>
        <w:t xml:space="preserve">p. </w:t>
      </w:r>
      <w:r w:rsidR="00DF4F2A">
        <w:rPr>
          <w:rFonts w:asciiTheme="minorHAnsi" w:hAnsiTheme="minorHAnsi" w:cstheme="minorHAnsi"/>
          <w:b/>
          <w:i/>
          <w:sz w:val="20"/>
        </w:rPr>
        <w:t>2</w:t>
      </w:r>
      <w:r w:rsidR="00CA4EEE">
        <w:rPr>
          <w:rFonts w:asciiTheme="minorHAnsi" w:hAnsiTheme="minorHAnsi" w:cstheme="minorHAnsi"/>
          <w:b/>
          <w:i/>
          <w:sz w:val="20"/>
        </w:rPr>
        <w:t xml:space="preserve"> kierunek </w:t>
      </w:r>
      <w:r w:rsidR="00DF4F2A">
        <w:rPr>
          <w:rFonts w:asciiTheme="minorHAnsi" w:hAnsiTheme="minorHAnsi" w:cstheme="minorHAnsi"/>
          <w:b/>
          <w:i/>
          <w:sz w:val="20"/>
        </w:rPr>
        <w:t>ul. Cicha</w:t>
      </w:r>
      <w:r w:rsidR="00CA4EEE">
        <w:rPr>
          <w:rFonts w:asciiTheme="minorHAnsi" w:hAnsiTheme="minorHAnsi" w:cstheme="minorHAnsi"/>
          <w:b/>
          <w:i/>
          <w:sz w:val="20"/>
        </w:rPr>
        <w:t xml:space="preserve">, p. </w:t>
      </w:r>
      <w:r w:rsidR="00DF4F2A">
        <w:rPr>
          <w:rFonts w:asciiTheme="minorHAnsi" w:hAnsiTheme="minorHAnsi" w:cstheme="minorHAnsi"/>
          <w:b/>
          <w:i/>
          <w:sz w:val="20"/>
        </w:rPr>
        <w:t>3</w:t>
      </w:r>
      <w:r w:rsidR="00CA4EEE">
        <w:rPr>
          <w:rFonts w:asciiTheme="minorHAnsi" w:hAnsiTheme="minorHAnsi" w:cstheme="minorHAnsi"/>
          <w:b/>
          <w:i/>
          <w:sz w:val="20"/>
        </w:rPr>
        <w:t xml:space="preserve"> kierunek </w:t>
      </w:r>
      <w:r w:rsidR="00DF4F2A">
        <w:rPr>
          <w:rFonts w:asciiTheme="minorHAnsi" w:hAnsiTheme="minorHAnsi" w:cstheme="minorHAnsi"/>
          <w:b/>
          <w:i/>
          <w:sz w:val="20"/>
        </w:rPr>
        <w:t>ul. Obrońców z 1939r.</w:t>
      </w:r>
      <w:r w:rsidR="00442359" w:rsidRPr="00A12252">
        <w:rPr>
          <w:rFonts w:asciiTheme="minorHAnsi" w:hAnsiTheme="minorHAnsi" w:cstheme="minorHAnsi"/>
          <w:b/>
          <w:i/>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lastRenderedPageBreak/>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4F3DE7" w:rsidP="00C72708">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764862" w:rsidRPr="00175C02">
        <w:rPr>
          <w:rFonts w:asciiTheme="minorHAnsi" w:hAnsiTheme="minorHAnsi" w:cstheme="minorHAnsi"/>
          <w:sz w:val="20"/>
        </w:rPr>
        <w:t>nn</w:t>
      </w:r>
      <w:proofErr w:type="spellEnd"/>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764862" w:rsidRPr="00175C02">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764862">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764862">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764862">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764862">
        <w:rPr>
          <w:rFonts w:asciiTheme="minorHAnsi" w:hAnsiTheme="minorHAnsi" w:cstheme="minorHAnsi"/>
          <w:sz w:val="20"/>
        </w:rPr>
        <w:t>nn</w:t>
      </w:r>
      <w:proofErr w:type="spellEnd"/>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0B22" w:rsidRDefault="00F00B22" w:rsidP="004A302B">
      <w:pPr>
        <w:spacing w:line="240" w:lineRule="auto"/>
      </w:pPr>
      <w:r>
        <w:separator/>
      </w:r>
    </w:p>
  </w:endnote>
  <w:endnote w:type="continuationSeparator" w:id="0">
    <w:p w:rsidR="00F00B22" w:rsidRDefault="00F00B2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6F4" w:rsidRDefault="00EB76F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12106">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12106">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6F4" w:rsidRDefault="00EB76F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0B22" w:rsidRDefault="00F00B22" w:rsidP="004A302B">
      <w:pPr>
        <w:spacing w:line="240" w:lineRule="auto"/>
      </w:pPr>
      <w:r>
        <w:separator/>
      </w:r>
    </w:p>
  </w:footnote>
  <w:footnote w:type="continuationSeparator" w:id="0">
    <w:p w:rsidR="00F00B22" w:rsidRDefault="00F00B22"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6F4" w:rsidRDefault="00EB76F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11210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noProof/>
        <w:lang w:eastAsia="pl-PL"/>
      </w:rPr>
      <w:drawing>
        <wp:inline distT="0" distB="0" distL="0" distR="0" wp14:anchorId="1EF5D41E" wp14:editId="7664D182">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bookmarkStart w:id="2" w:name="_GoBack"/>
    <w:bookmarkEnd w:id="2"/>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EB76F4" w:rsidRPr="00EB76F4">
          <w:rPr>
            <w:rStyle w:val="Nagwek1Znak"/>
            <w:rFonts w:ascii="Arial" w:eastAsiaTheme="minorHAnsi" w:hAnsi="Arial" w:cs="Arial"/>
            <w:color w:val="000000"/>
            <w:sz w:val="18"/>
            <w:szCs w:val="18"/>
            <w:shd w:val="clear" w:color="auto" w:fill="FDFDFD"/>
          </w:rPr>
          <w:t>POST/DYS/OLD/GZ/02117/2025</w:t>
        </w:r>
      </w:sdtContent>
    </w:sdt>
    <w:r w:rsidR="002369B6"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76F4" w:rsidRDefault="00EB76F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3E5B"/>
    <w:rsid w:val="000F58B6"/>
    <w:rsid w:val="000F5D37"/>
    <w:rsid w:val="000F77CE"/>
    <w:rsid w:val="00100052"/>
    <w:rsid w:val="0010053E"/>
    <w:rsid w:val="001007C3"/>
    <w:rsid w:val="00101C1B"/>
    <w:rsid w:val="00101D38"/>
    <w:rsid w:val="00101F51"/>
    <w:rsid w:val="00103712"/>
    <w:rsid w:val="001050AB"/>
    <w:rsid w:val="00105610"/>
    <w:rsid w:val="001116B5"/>
    <w:rsid w:val="00112106"/>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2C0D"/>
    <w:rsid w:val="001B396C"/>
    <w:rsid w:val="001B3E7F"/>
    <w:rsid w:val="001B5C6C"/>
    <w:rsid w:val="001B6ABA"/>
    <w:rsid w:val="001B7E8D"/>
    <w:rsid w:val="001C0B81"/>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9AA"/>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606"/>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6CE6"/>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3914"/>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5AD6"/>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809"/>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743"/>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639"/>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A4"/>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252"/>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24A6"/>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62A"/>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4EEE"/>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5CC5"/>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4F2A"/>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4462"/>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6F4"/>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22"/>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3B65"/>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4BE5"/>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D80FE88"/>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 w:type="character" w:styleId="Pogrubienie">
    <w:name w:val="Strong"/>
    <w:basedOn w:val="Domylnaczcionkaakapitu"/>
    <w:uiPriority w:val="22"/>
    <w:qFormat/>
    <w:rsid w:val="00EB76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0458569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3A8"/>
    <w:rsid w:val="00774C40"/>
    <w:rsid w:val="007E096F"/>
    <w:rsid w:val="007E2C32"/>
    <w:rsid w:val="007E391E"/>
    <w:rsid w:val="0081605D"/>
    <w:rsid w:val="00823B15"/>
    <w:rsid w:val="00832C41"/>
    <w:rsid w:val="00843AAE"/>
    <w:rsid w:val="0085262B"/>
    <w:rsid w:val="00876E33"/>
    <w:rsid w:val="008803EB"/>
    <w:rsid w:val="008E019D"/>
    <w:rsid w:val="008E031B"/>
    <w:rsid w:val="0091435D"/>
    <w:rsid w:val="00920F8B"/>
    <w:rsid w:val="00923549"/>
    <w:rsid w:val="00931FCF"/>
    <w:rsid w:val="009324D2"/>
    <w:rsid w:val="00974F86"/>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5A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D4408"/>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cz.5.docx</dmsv2BaseFileName>
    <dmsv2BaseDisplayName xmlns="http://schemas.microsoft.com/sharepoint/v3">Załącznik nr 1 do SWZ - cz.5</dmsv2BaseDisplayName>
    <dmsv2SWPP2ObjectNumber xmlns="http://schemas.microsoft.com/sharepoint/v3">POST/DYS/OLD/GZ/02117/2025                        </dmsv2SWPP2ObjectNumber>
    <dmsv2SWPP2SumMD5 xmlns="http://schemas.microsoft.com/sharepoint/v3">51d8cc26231fd9a292e5eb372cf0351d</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22619206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M37YNRNYPV7A-513987650-17453</_dlc_DocId>
    <_dlc_DocIdUrl xmlns="a19cb1c7-c5c7-46d4-85ae-d83685407bba">
      <Url>https://swpp2.dms.gkpge.pl/sites/37/_layouts/15/DocIdRedir.aspx?ID=M37YNRNYPV7A-513987650-17453</Url>
      <Description>M37YNRNYPV7A-513987650-17453</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95B558-A2E9-431B-BD69-8C783E90BC33}">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e98d7501-42e4-4a2d-b641-b529e1ab1d6e"/>
    <ds:schemaRef ds:uri="http://www.w3.org/XML/1998/namespace"/>
    <ds:schemaRef ds:uri="http://purl.org/dc/dcmityp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C2E62BF0-3065-47EB-B782-B35C958CC934}"/>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ECD0EBDF-4B62-4A37-9D03-56284FAAC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1724</Words>
  <Characters>10350</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POST/DYS/OLD/GZ/02117/2025</dc:subject>
  <dc:creator>Kurpiewska Katarzyna [PGE S.A.]</dc:creator>
  <cp:lastModifiedBy>Stasiak Barbara [PGE Dystr. O.Łódź]</cp:lastModifiedBy>
  <cp:revision>7</cp:revision>
  <cp:lastPrinted>2021-02-26T13:14:00Z</cp:lastPrinted>
  <dcterms:created xsi:type="dcterms:W3CDTF">2025-03-07T08:59:00Z</dcterms:created>
  <dcterms:modified xsi:type="dcterms:W3CDTF">2025-06-03T08:34:00Z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8374982b-41d6-4c60-8230-f68feddf2721</vt:lpwstr>
  </property>
</Properties>
</file>